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12" w:rsidRPr="006B4534" w:rsidRDefault="00812612" w:rsidP="00812612">
      <w:pPr>
        <w:pStyle w:val="NoSpacing"/>
        <w:rPr>
          <w:b/>
          <w:sz w:val="23"/>
          <w:szCs w:val="23"/>
        </w:rPr>
      </w:pPr>
      <w:r w:rsidRPr="006B4534">
        <w:rPr>
          <w:b/>
          <w:sz w:val="23"/>
          <w:szCs w:val="23"/>
        </w:rPr>
        <w:t xml:space="preserve">Health Select Committee inquiry: public expenditure on health and social care </w:t>
      </w:r>
    </w:p>
    <w:p w:rsidR="00812612" w:rsidRPr="006B4534" w:rsidRDefault="00812612" w:rsidP="00812612">
      <w:pPr>
        <w:pStyle w:val="NoSpacing"/>
        <w:pBdr>
          <w:bottom w:val="single" w:sz="4" w:space="1" w:color="auto"/>
        </w:pBdr>
        <w:rPr>
          <w:b/>
          <w:sz w:val="23"/>
          <w:szCs w:val="23"/>
        </w:rPr>
      </w:pPr>
      <w:r w:rsidRPr="006B4534">
        <w:rPr>
          <w:b/>
          <w:sz w:val="23"/>
          <w:szCs w:val="23"/>
        </w:rPr>
        <w:t xml:space="preserve">Royal College of Surgeons’ written evidence </w:t>
      </w:r>
    </w:p>
    <w:p w:rsidR="00812612" w:rsidRPr="006B4534" w:rsidRDefault="00812612" w:rsidP="00812612">
      <w:pPr>
        <w:pStyle w:val="NoSpacing"/>
        <w:rPr>
          <w:sz w:val="23"/>
          <w:szCs w:val="23"/>
        </w:rPr>
      </w:pPr>
    </w:p>
    <w:p w:rsidR="00812612" w:rsidRDefault="00812612" w:rsidP="00812612">
      <w:pPr>
        <w:pStyle w:val="NoSpacing"/>
        <w:numPr>
          <w:ilvl w:val="0"/>
          <w:numId w:val="1"/>
        </w:numPr>
        <w:rPr>
          <w:b/>
          <w:sz w:val="23"/>
          <w:szCs w:val="23"/>
        </w:rPr>
      </w:pPr>
      <w:r w:rsidRPr="006B4534">
        <w:rPr>
          <w:b/>
          <w:sz w:val="23"/>
          <w:szCs w:val="23"/>
        </w:rPr>
        <w:t>Introduction</w:t>
      </w:r>
    </w:p>
    <w:p w:rsidR="00812612" w:rsidRPr="00812612" w:rsidRDefault="00812612" w:rsidP="00812612">
      <w:pPr>
        <w:pStyle w:val="NoSpacing"/>
        <w:numPr>
          <w:ilvl w:val="1"/>
          <w:numId w:val="1"/>
        </w:numPr>
        <w:rPr>
          <w:b/>
          <w:sz w:val="23"/>
          <w:szCs w:val="23"/>
        </w:rPr>
      </w:pPr>
      <w:r>
        <w:rPr>
          <w:sz w:val="23"/>
          <w:szCs w:val="23"/>
        </w:rPr>
        <w:t xml:space="preserve">The Royal College of Surgeons exists to advance surgical standards and maintain the highest level of care for patients. In this evidence to the Health Select Committee we therefore focus our concerns on where financially-driven decisions are undermining </w:t>
      </w:r>
      <w:r w:rsidR="00EA1FB1">
        <w:rPr>
          <w:sz w:val="23"/>
          <w:szCs w:val="23"/>
        </w:rPr>
        <w:t xml:space="preserve">access, </w:t>
      </w:r>
      <w:r>
        <w:rPr>
          <w:sz w:val="23"/>
          <w:szCs w:val="23"/>
        </w:rPr>
        <w:t>patient safety</w:t>
      </w:r>
      <w:r w:rsidR="00EA1FB1">
        <w:rPr>
          <w:sz w:val="23"/>
          <w:szCs w:val="23"/>
        </w:rPr>
        <w:t>,</w:t>
      </w:r>
      <w:r>
        <w:rPr>
          <w:sz w:val="23"/>
          <w:szCs w:val="23"/>
        </w:rPr>
        <w:t xml:space="preserve"> and quality of care.</w:t>
      </w:r>
    </w:p>
    <w:p w:rsidR="00812612" w:rsidRPr="00812612" w:rsidRDefault="00812612" w:rsidP="00812612">
      <w:pPr>
        <w:pStyle w:val="NoSpacing"/>
        <w:ind w:left="792"/>
        <w:rPr>
          <w:b/>
          <w:sz w:val="23"/>
          <w:szCs w:val="23"/>
        </w:rPr>
      </w:pPr>
    </w:p>
    <w:p w:rsidR="00812612" w:rsidRDefault="00812612" w:rsidP="00812612">
      <w:pPr>
        <w:pStyle w:val="NoSpacing"/>
        <w:numPr>
          <w:ilvl w:val="0"/>
          <w:numId w:val="1"/>
        </w:numPr>
        <w:rPr>
          <w:b/>
          <w:sz w:val="23"/>
          <w:szCs w:val="23"/>
        </w:rPr>
      </w:pPr>
      <w:r w:rsidRPr="00ED6030">
        <w:rPr>
          <w:b/>
          <w:sz w:val="23"/>
          <w:szCs w:val="23"/>
        </w:rPr>
        <w:t>Summary</w:t>
      </w:r>
    </w:p>
    <w:p w:rsidR="00286625" w:rsidRPr="004E43AC" w:rsidRDefault="00286625" w:rsidP="00677AD6">
      <w:pPr>
        <w:pStyle w:val="NoSpacing"/>
        <w:numPr>
          <w:ilvl w:val="1"/>
          <w:numId w:val="1"/>
        </w:numPr>
        <w:rPr>
          <w:b/>
          <w:sz w:val="23"/>
          <w:szCs w:val="23"/>
        </w:rPr>
      </w:pPr>
      <w:r>
        <w:rPr>
          <w:sz w:val="23"/>
          <w:szCs w:val="23"/>
        </w:rPr>
        <w:t>The</w:t>
      </w:r>
      <w:r w:rsidR="00677AD6">
        <w:rPr>
          <w:sz w:val="23"/>
          <w:szCs w:val="23"/>
        </w:rPr>
        <w:t xml:space="preserve"> NHS has performed well despite the extraordinary</w:t>
      </w:r>
      <w:r w:rsidR="00347007">
        <w:rPr>
          <w:sz w:val="23"/>
          <w:szCs w:val="23"/>
        </w:rPr>
        <w:t xml:space="preserve"> pressures that have been placed on</w:t>
      </w:r>
      <w:r w:rsidR="00677AD6">
        <w:rPr>
          <w:sz w:val="23"/>
          <w:szCs w:val="23"/>
        </w:rPr>
        <w:t xml:space="preserve"> the health service</w:t>
      </w:r>
      <w:r>
        <w:rPr>
          <w:sz w:val="23"/>
          <w:szCs w:val="23"/>
        </w:rPr>
        <w:t>.</w:t>
      </w:r>
      <w:r w:rsidR="006947E5">
        <w:rPr>
          <w:sz w:val="23"/>
          <w:szCs w:val="23"/>
        </w:rPr>
        <w:t xml:space="preserve"> In surgery, a rising trend in capacity means more operations than ever before are carried out on the NHS, with the Health Secretary quoting an extra 850,000 procedures</w:t>
      </w:r>
      <w:r>
        <w:rPr>
          <w:sz w:val="23"/>
          <w:szCs w:val="23"/>
        </w:rPr>
        <w:t xml:space="preserve"> </w:t>
      </w:r>
      <w:r w:rsidR="00166697">
        <w:rPr>
          <w:sz w:val="23"/>
          <w:szCs w:val="23"/>
        </w:rPr>
        <w:t xml:space="preserve">being </w:t>
      </w:r>
      <w:r w:rsidR="006947E5">
        <w:rPr>
          <w:sz w:val="23"/>
          <w:szCs w:val="23"/>
        </w:rPr>
        <w:t>delivered every year</w:t>
      </w:r>
      <w:r w:rsidR="00EA1FB1">
        <w:rPr>
          <w:sz w:val="23"/>
          <w:szCs w:val="23"/>
        </w:rPr>
        <w:t xml:space="preserve"> since 2010</w:t>
      </w:r>
      <w:r w:rsidR="006947E5">
        <w:rPr>
          <w:sz w:val="23"/>
          <w:szCs w:val="23"/>
        </w:rPr>
        <w:t>.</w:t>
      </w:r>
      <w:r w:rsidR="006947E5">
        <w:rPr>
          <w:rStyle w:val="FootnoteReference"/>
          <w:sz w:val="23"/>
          <w:szCs w:val="23"/>
        </w:rPr>
        <w:footnoteReference w:id="1"/>
      </w:r>
      <w:r w:rsidR="006947E5">
        <w:rPr>
          <w:sz w:val="23"/>
          <w:szCs w:val="23"/>
        </w:rPr>
        <w:t xml:space="preserve"> Surgical outcomes have also been improving thanks to </w:t>
      </w:r>
      <w:r w:rsidR="00CF19B8">
        <w:rPr>
          <w:sz w:val="23"/>
          <w:szCs w:val="23"/>
        </w:rPr>
        <w:t>extensive</w:t>
      </w:r>
      <w:r w:rsidR="006947E5">
        <w:rPr>
          <w:sz w:val="23"/>
          <w:szCs w:val="23"/>
        </w:rPr>
        <w:t xml:space="preserve"> auditing </w:t>
      </w:r>
      <w:r w:rsidR="00166697">
        <w:rPr>
          <w:sz w:val="23"/>
          <w:szCs w:val="23"/>
        </w:rPr>
        <w:t xml:space="preserve">and </w:t>
      </w:r>
      <w:r w:rsidR="00CF19B8">
        <w:rPr>
          <w:sz w:val="23"/>
          <w:szCs w:val="23"/>
        </w:rPr>
        <w:t xml:space="preserve">the </w:t>
      </w:r>
      <w:r w:rsidR="00166697">
        <w:rPr>
          <w:sz w:val="23"/>
          <w:szCs w:val="23"/>
        </w:rPr>
        <w:t>adoption</w:t>
      </w:r>
      <w:r w:rsidR="006947E5">
        <w:rPr>
          <w:sz w:val="23"/>
          <w:szCs w:val="23"/>
        </w:rPr>
        <w:t xml:space="preserve"> of rigorous surgical standards. </w:t>
      </w:r>
      <w:r>
        <w:rPr>
          <w:sz w:val="23"/>
          <w:szCs w:val="23"/>
        </w:rPr>
        <w:t xml:space="preserve">However, some measures show that performance, especially in terms of access, is beginning to deteriorate. </w:t>
      </w:r>
    </w:p>
    <w:p w:rsidR="00917938" w:rsidRPr="004E43AC" w:rsidRDefault="00286625" w:rsidP="00677AD6">
      <w:pPr>
        <w:pStyle w:val="NoSpacing"/>
        <w:numPr>
          <w:ilvl w:val="1"/>
          <w:numId w:val="1"/>
        </w:numPr>
        <w:rPr>
          <w:b/>
          <w:sz w:val="23"/>
          <w:szCs w:val="23"/>
        </w:rPr>
      </w:pPr>
      <w:r>
        <w:rPr>
          <w:sz w:val="23"/>
          <w:szCs w:val="23"/>
        </w:rPr>
        <w:t>While we acknowledge difficult decisions will need to be made about how to spend finite resources, we</w:t>
      </w:r>
      <w:r w:rsidR="00917938">
        <w:rPr>
          <w:sz w:val="23"/>
          <w:szCs w:val="23"/>
        </w:rPr>
        <w:t xml:space="preserve"> are concerned about </w:t>
      </w:r>
      <w:r w:rsidR="00EA1FB1">
        <w:rPr>
          <w:sz w:val="23"/>
          <w:szCs w:val="23"/>
        </w:rPr>
        <w:t>the number of</w:t>
      </w:r>
      <w:r>
        <w:rPr>
          <w:sz w:val="23"/>
          <w:szCs w:val="23"/>
        </w:rPr>
        <w:t xml:space="preserve"> </w:t>
      </w:r>
      <w:r w:rsidR="00B42C19">
        <w:rPr>
          <w:sz w:val="23"/>
          <w:szCs w:val="23"/>
        </w:rPr>
        <w:t xml:space="preserve">financial </w:t>
      </w:r>
      <w:r w:rsidR="00917938">
        <w:rPr>
          <w:sz w:val="23"/>
          <w:szCs w:val="23"/>
        </w:rPr>
        <w:t xml:space="preserve">pressures </w:t>
      </w:r>
      <w:r w:rsidR="00EA1FB1">
        <w:rPr>
          <w:sz w:val="23"/>
          <w:szCs w:val="23"/>
        </w:rPr>
        <w:t xml:space="preserve">that will face </w:t>
      </w:r>
      <w:r>
        <w:rPr>
          <w:sz w:val="23"/>
          <w:szCs w:val="23"/>
        </w:rPr>
        <w:t>hospitals</w:t>
      </w:r>
      <w:r w:rsidR="00EA1FB1">
        <w:rPr>
          <w:sz w:val="23"/>
          <w:szCs w:val="23"/>
        </w:rPr>
        <w:t xml:space="preserve"> over the next year</w:t>
      </w:r>
      <w:r w:rsidR="00917938">
        <w:rPr>
          <w:sz w:val="23"/>
          <w:szCs w:val="23"/>
        </w:rPr>
        <w:t xml:space="preserve">. These include </w:t>
      </w:r>
      <w:r>
        <w:rPr>
          <w:sz w:val="23"/>
          <w:szCs w:val="23"/>
        </w:rPr>
        <w:t xml:space="preserve">increased demand, unintended consequences of the Better Care Fund which will move money out of hospitals, </w:t>
      </w:r>
      <w:r w:rsidR="00B42C19">
        <w:rPr>
          <w:sz w:val="23"/>
          <w:szCs w:val="23"/>
        </w:rPr>
        <w:t xml:space="preserve">and changes to NHS prices (the ‘tariff’). We particularly encourage the Committee to </w:t>
      </w:r>
      <w:r w:rsidR="003275F8">
        <w:rPr>
          <w:sz w:val="23"/>
          <w:szCs w:val="23"/>
        </w:rPr>
        <w:t xml:space="preserve">examine </w:t>
      </w:r>
      <w:r w:rsidR="00B42C19">
        <w:rPr>
          <w:sz w:val="23"/>
          <w:szCs w:val="23"/>
        </w:rPr>
        <w:t xml:space="preserve">the potential effects of NHS England and Monitor’s proposed 3-5% reduction in prices to be paid for various treatments and services in 2015-16. </w:t>
      </w:r>
    </w:p>
    <w:p w:rsidR="00B42C19" w:rsidRPr="00917938" w:rsidRDefault="00B42C19" w:rsidP="00677AD6">
      <w:pPr>
        <w:pStyle w:val="NoSpacing"/>
        <w:numPr>
          <w:ilvl w:val="1"/>
          <w:numId w:val="1"/>
        </w:numPr>
        <w:rPr>
          <w:b/>
          <w:sz w:val="23"/>
          <w:szCs w:val="23"/>
        </w:rPr>
      </w:pPr>
      <w:r>
        <w:rPr>
          <w:sz w:val="23"/>
          <w:szCs w:val="23"/>
        </w:rPr>
        <w:t>The NHS is rationing access to surgical services</w:t>
      </w:r>
      <w:r w:rsidR="00EA1FB1">
        <w:rPr>
          <w:sz w:val="23"/>
          <w:szCs w:val="23"/>
        </w:rPr>
        <w:t xml:space="preserve"> according to recent evidence we have published</w:t>
      </w:r>
      <w:r w:rsidR="004A3E7C">
        <w:rPr>
          <w:rStyle w:val="FootnoteReference"/>
          <w:sz w:val="23"/>
          <w:szCs w:val="23"/>
        </w:rPr>
        <w:footnoteReference w:id="2"/>
      </w:r>
      <w:r>
        <w:rPr>
          <w:sz w:val="23"/>
          <w:szCs w:val="23"/>
        </w:rPr>
        <w:t xml:space="preserve">. For example, 44% of clinical commissioning groups (CCGs) require patients to be in various degrees of pain or immobility, or to lose weight, before accessing a hip replacement even though this contravenes NICE and other expert </w:t>
      </w:r>
      <w:r w:rsidR="00EA1FB1">
        <w:rPr>
          <w:sz w:val="23"/>
          <w:szCs w:val="23"/>
        </w:rPr>
        <w:t xml:space="preserve">surgical </w:t>
      </w:r>
      <w:r>
        <w:rPr>
          <w:sz w:val="23"/>
          <w:szCs w:val="23"/>
        </w:rPr>
        <w:t>guidance. While it is impossible to be certain the motivation is to save money, such measures are</w:t>
      </w:r>
      <w:r w:rsidR="00EA1FB1">
        <w:rPr>
          <w:sz w:val="23"/>
          <w:szCs w:val="23"/>
        </w:rPr>
        <w:t xml:space="preserve"> </w:t>
      </w:r>
      <w:r>
        <w:rPr>
          <w:sz w:val="23"/>
          <w:szCs w:val="23"/>
        </w:rPr>
        <w:t xml:space="preserve">likely to increase </w:t>
      </w:r>
      <w:r w:rsidR="00EA1FB1">
        <w:rPr>
          <w:sz w:val="23"/>
          <w:szCs w:val="23"/>
        </w:rPr>
        <w:t xml:space="preserve">not decrease </w:t>
      </w:r>
      <w:r>
        <w:rPr>
          <w:sz w:val="23"/>
          <w:szCs w:val="23"/>
        </w:rPr>
        <w:t xml:space="preserve">in the present financial climate. </w:t>
      </w:r>
      <w:r w:rsidR="004F5293">
        <w:rPr>
          <w:sz w:val="23"/>
          <w:szCs w:val="23"/>
        </w:rPr>
        <w:t>We urge the Government to remind CCGs of the need for patient care to be delivered on the basis of clinical need, not compromised by financial considerations.</w:t>
      </w:r>
      <w:r w:rsidR="00FF4006">
        <w:rPr>
          <w:sz w:val="23"/>
          <w:szCs w:val="23"/>
        </w:rPr>
        <w:t xml:space="preserve"> </w:t>
      </w:r>
      <w:r>
        <w:rPr>
          <w:sz w:val="23"/>
          <w:szCs w:val="23"/>
        </w:rPr>
        <w:t xml:space="preserve">The resource pressures in social care may be undermining the NHS’ ability to better co-ordinate the care of surgical patients, according to a recently published survey of surgeons. </w:t>
      </w:r>
    </w:p>
    <w:p w:rsidR="00812612" w:rsidRPr="00F82075" w:rsidRDefault="005C70FE" w:rsidP="00F82075">
      <w:pPr>
        <w:pStyle w:val="NoSpacing"/>
        <w:numPr>
          <w:ilvl w:val="1"/>
          <w:numId w:val="1"/>
        </w:numPr>
        <w:rPr>
          <w:b/>
          <w:sz w:val="23"/>
          <w:szCs w:val="23"/>
        </w:rPr>
      </w:pPr>
      <w:r>
        <w:rPr>
          <w:sz w:val="23"/>
          <w:szCs w:val="23"/>
        </w:rPr>
        <w:t xml:space="preserve">The RCS </w:t>
      </w:r>
      <w:r w:rsidR="00EA1FB1">
        <w:rPr>
          <w:sz w:val="23"/>
          <w:szCs w:val="23"/>
        </w:rPr>
        <w:t>supports</w:t>
      </w:r>
      <w:r>
        <w:rPr>
          <w:sz w:val="23"/>
          <w:szCs w:val="23"/>
        </w:rPr>
        <w:t xml:space="preserve"> the NHS transitioning to a seven day services model of care. </w:t>
      </w:r>
      <w:r w:rsidR="00B42C19">
        <w:rPr>
          <w:sz w:val="23"/>
          <w:szCs w:val="23"/>
        </w:rPr>
        <w:t>I</w:t>
      </w:r>
      <w:r>
        <w:rPr>
          <w:sz w:val="23"/>
          <w:szCs w:val="23"/>
        </w:rPr>
        <w:t xml:space="preserve">t is unacceptable that patients are not afforded the same quality of care at weekends and in the evenings. </w:t>
      </w:r>
      <w:r w:rsidR="004F5293">
        <w:rPr>
          <w:sz w:val="23"/>
          <w:szCs w:val="23"/>
        </w:rPr>
        <w:t>NHS England</w:t>
      </w:r>
      <w:r>
        <w:rPr>
          <w:sz w:val="23"/>
          <w:szCs w:val="23"/>
        </w:rPr>
        <w:t xml:space="preserve"> should initiate in-depth financial modelling to help </w:t>
      </w:r>
      <w:r w:rsidR="004E69A2">
        <w:rPr>
          <w:sz w:val="23"/>
          <w:szCs w:val="23"/>
        </w:rPr>
        <w:t>anticipate the costs of implementing comprehensive seven day services.</w:t>
      </w:r>
    </w:p>
    <w:p w:rsidR="00D322CE" w:rsidRPr="00812612" w:rsidRDefault="00D322CE" w:rsidP="00812612">
      <w:pPr>
        <w:pStyle w:val="NoSpacing"/>
        <w:ind w:left="360"/>
        <w:rPr>
          <w:b/>
          <w:sz w:val="23"/>
          <w:szCs w:val="23"/>
        </w:rPr>
      </w:pPr>
    </w:p>
    <w:p w:rsidR="00812612" w:rsidRPr="00812612" w:rsidRDefault="00720719" w:rsidP="00812612">
      <w:pPr>
        <w:pStyle w:val="NoSpacing"/>
        <w:numPr>
          <w:ilvl w:val="0"/>
          <w:numId w:val="1"/>
        </w:numPr>
        <w:rPr>
          <w:b/>
          <w:sz w:val="23"/>
          <w:szCs w:val="23"/>
        </w:rPr>
      </w:pPr>
      <w:r>
        <w:rPr>
          <w:b/>
          <w:sz w:val="23"/>
          <w:szCs w:val="23"/>
        </w:rPr>
        <w:t>Current performance of the NHS</w:t>
      </w:r>
    </w:p>
    <w:p w:rsidR="00812612" w:rsidRPr="004E43AC" w:rsidRDefault="0046147F" w:rsidP="00812612">
      <w:pPr>
        <w:pStyle w:val="NoSpacing"/>
        <w:numPr>
          <w:ilvl w:val="1"/>
          <w:numId w:val="1"/>
        </w:numPr>
        <w:rPr>
          <w:b/>
          <w:sz w:val="23"/>
          <w:szCs w:val="23"/>
        </w:rPr>
      </w:pPr>
      <w:r>
        <w:rPr>
          <w:sz w:val="23"/>
          <w:szCs w:val="23"/>
        </w:rPr>
        <w:t xml:space="preserve">During the past few years </w:t>
      </w:r>
      <w:r w:rsidR="00710E68">
        <w:rPr>
          <w:sz w:val="23"/>
          <w:szCs w:val="23"/>
        </w:rPr>
        <w:t>the health service</w:t>
      </w:r>
      <w:r w:rsidR="00812612">
        <w:rPr>
          <w:sz w:val="23"/>
          <w:szCs w:val="23"/>
        </w:rPr>
        <w:t xml:space="preserve"> </w:t>
      </w:r>
      <w:r>
        <w:rPr>
          <w:sz w:val="23"/>
          <w:szCs w:val="23"/>
        </w:rPr>
        <w:t xml:space="preserve">has been performing </w:t>
      </w:r>
      <w:r w:rsidR="00812612">
        <w:rPr>
          <w:sz w:val="23"/>
          <w:szCs w:val="23"/>
        </w:rPr>
        <w:t xml:space="preserve">well on a number of </w:t>
      </w:r>
      <w:r w:rsidR="00ED6030">
        <w:rPr>
          <w:sz w:val="23"/>
          <w:szCs w:val="23"/>
        </w:rPr>
        <w:t>indicators</w:t>
      </w:r>
      <w:r>
        <w:rPr>
          <w:sz w:val="23"/>
          <w:szCs w:val="23"/>
        </w:rPr>
        <w:t xml:space="preserve"> despite unprecedented financial pressures</w:t>
      </w:r>
      <w:r w:rsidR="00ED6030">
        <w:rPr>
          <w:sz w:val="23"/>
          <w:szCs w:val="23"/>
        </w:rPr>
        <w:t xml:space="preserve">. </w:t>
      </w:r>
      <w:r w:rsidR="00811785">
        <w:rPr>
          <w:sz w:val="23"/>
          <w:szCs w:val="23"/>
        </w:rPr>
        <w:t>Indeed</w:t>
      </w:r>
      <w:r w:rsidR="00ED6030">
        <w:rPr>
          <w:sz w:val="23"/>
          <w:szCs w:val="23"/>
        </w:rPr>
        <w:t>, a recent Commonwealth Fund report</w:t>
      </w:r>
      <w:r w:rsidR="00DC5CA0">
        <w:rPr>
          <w:rStyle w:val="FootnoteReference"/>
          <w:sz w:val="23"/>
          <w:szCs w:val="23"/>
        </w:rPr>
        <w:footnoteReference w:id="3"/>
      </w:r>
      <w:r w:rsidR="00ED6030">
        <w:rPr>
          <w:sz w:val="23"/>
          <w:szCs w:val="23"/>
        </w:rPr>
        <w:t xml:space="preserve"> placed the NHS first out of 11 countries</w:t>
      </w:r>
      <w:r w:rsidR="00C5297C">
        <w:rPr>
          <w:sz w:val="23"/>
          <w:szCs w:val="23"/>
        </w:rPr>
        <w:t xml:space="preserve">’ health </w:t>
      </w:r>
      <w:r w:rsidR="00C5297C">
        <w:rPr>
          <w:sz w:val="23"/>
          <w:szCs w:val="23"/>
        </w:rPr>
        <w:lastRenderedPageBreak/>
        <w:t>systems</w:t>
      </w:r>
      <w:r w:rsidR="00ED6030">
        <w:rPr>
          <w:sz w:val="23"/>
          <w:szCs w:val="23"/>
        </w:rPr>
        <w:t>, rating it highest for quality, access and efficiency, de</w:t>
      </w:r>
      <w:r w:rsidR="00811785">
        <w:rPr>
          <w:sz w:val="23"/>
          <w:szCs w:val="23"/>
        </w:rPr>
        <w:t>spite the fact that many other governments</w:t>
      </w:r>
      <w:r w:rsidR="00ED6030">
        <w:rPr>
          <w:sz w:val="23"/>
          <w:szCs w:val="23"/>
        </w:rPr>
        <w:t xml:space="preserve"> spend considerably more on health.</w:t>
      </w:r>
    </w:p>
    <w:p w:rsidR="00166697" w:rsidRPr="003A7A2E" w:rsidRDefault="0046147F" w:rsidP="00812612">
      <w:pPr>
        <w:pStyle w:val="NoSpacing"/>
        <w:numPr>
          <w:ilvl w:val="1"/>
          <w:numId w:val="1"/>
        </w:numPr>
        <w:rPr>
          <w:b/>
          <w:sz w:val="23"/>
          <w:szCs w:val="23"/>
        </w:rPr>
      </w:pPr>
      <w:r>
        <w:rPr>
          <w:sz w:val="23"/>
          <w:szCs w:val="23"/>
        </w:rPr>
        <w:t xml:space="preserve">However, the sector </w:t>
      </w:r>
      <w:r w:rsidR="00EA1FB1">
        <w:rPr>
          <w:sz w:val="23"/>
          <w:szCs w:val="23"/>
        </w:rPr>
        <w:t>faces</w:t>
      </w:r>
      <w:r>
        <w:rPr>
          <w:sz w:val="23"/>
          <w:szCs w:val="23"/>
        </w:rPr>
        <w:t xml:space="preserve"> significant financial challenges and there are signs that performance is beginning to deteriorate. For example, major A&amp;E departments have breached their </w:t>
      </w:r>
      <w:r w:rsidR="009767D4">
        <w:rPr>
          <w:sz w:val="23"/>
          <w:szCs w:val="23"/>
        </w:rPr>
        <w:t xml:space="preserve">four-hour admission or discharge target for over a year. Similarly, people are reporting that it is harder to get a GP appointment and the waiting list now has </w:t>
      </w:r>
      <w:r w:rsidR="003275F8">
        <w:rPr>
          <w:sz w:val="23"/>
          <w:szCs w:val="23"/>
        </w:rPr>
        <w:t xml:space="preserve">more than </w:t>
      </w:r>
      <w:r w:rsidR="009767D4">
        <w:rPr>
          <w:sz w:val="23"/>
          <w:szCs w:val="23"/>
        </w:rPr>
        <w:t xml:space="preserve">3 million patients. These measures are about access rather than quality but </w:t>
      </w:r>
      <w:r w:rsidR="00A669A3">
        <w:rPr>
          <w:sz w:val="23"/>
          <w:szCs w:val="23"/>
        </w:rPr>
        <w:t xml:space="preserve">they </w:t>
      </w:r>
      <w:r w:rsidR="009767D4">
        <w:rPr>
          <w:sz w:val="23"/>
          <w:szCs w:val="23"/>
        </w:rPr>
        <w:t xml:space="preserve">have traditionally been used as </w:t>
      </w:r>
      <w:r w:rsidR="00EA1FB1">
        <w:rPr>
          <w:sz w:val="23"/>
          <w:szCs w:val="23"/>
        </w:rPr>
        <w:t xml:space="preserve">proxy indicators </w:t>
      </w:r>
      <w:r w:rsidR="00A669A3">
        <w:rPr>
          <w:sz w:val="23"/>
          <w:szCs w:val="23"/>
        </w:rPr>
        <w:t xml:space="preserve">of </w:t>
      </w:r>
      <w:r w:rsidR="009767D4">
        <w:rPr>
          <w:sz w:val="23"/>
          <w:szCs w:val="23"/>
        </w:rPr>
        <w:t>wider performance.</w:t>
      </w:r>
    </w:p>
    <w:p w:rsidR="0046147F" w:rsidRPr="00ED6030" w:rsidRDefault="00166697" w:rsidP="00812612">
      <w:pPr>
        <w:pStyle w:val="NoSpacing"/>
        <w:numPr>
          <w:ilvl w:val="1"/>
          <w:numId w:val="1"/>
        </w:numPr>
        <w:rPr>
          <w:b/>
          <w:sz w:val="23"/>
          <w:szCs w:val="23"/>
        </w:rPr>
      </w:pPr>
      <w:r>
        <w:rPr>
          <w:sz w:val="23"/>
          <w:szCs w:val="23"/>
        </w:rPr>
        <w:t xml:space="preserve">We are particularly concerned that </w:t>
      </w:r>
      <w:r w:rsidR="00EA1FB1">
        <w:rPr>
          <w:sz w:val="23"/>
          <w:szCs w:val="23"/>
        </w:rPr>
        <w:t>the</w:t>
      </w:r>
      <w:r w:rsidR="004A3E7C">
        <w:rPr>
          <w:sz w:val="23"/>
          <w:szCs w:val="23"/>
        </w:rPr>
        <w:t xml:space="preserve"> important</w:t>
      </w:r>
      <w:r w:rsidR="00EA1FB1">
        <w:rPr>
          <w:sz w:val="23"/>
          <w:szCs w:val="23"/>
        </w:rPr>
        <w:t xml:space="preserve"> focus on initiatives in elective </w:t>
      </w:r>
      <w:r w:rsidR="004A3E7C">
        <w:rPr>
          <w:sz w:val="23"/>
          <w:szCs w:val="23"/>
        </w:rPr>
        <w:t xml:space="preserve">(planned) care such as hip and knee </w:t>
      </w:r>
      <w:proofErr w:type="gramStart"/>
      <w:r w:rsidR="004A3E7C">
        <w:rPr>
          <w:sz w:val="23"/>
          <w:szCs w:val="23"/>
        </w:rPr>
        <w:t>operations,</w:t>
      </w:r>
      <w:proofErr w:type="gramEnd"/>
      <w:r w:rsidR="004A3E7C">
        <w:rPr>
          <w:sz w:val="23"/>
          <w:szCs w:val="23"/>
        </w:rPr>
        <w:t xml:space="preserve"> has </w:t>
      </w:r>
      <w:r>
        <w:rPr>
          <w:sz w:val="23"/>
          <w:szCs w:val="23"/>
        </w:rPr>
        <w:t>come at the expense of emergency surgery</w:t>
      </w:r>
      <w:r w:rsidR="004A3E7C">
        <w:rPr>
          <w:sz w:val="23"/>
          <w:szCs w:val="23"/>
        </w:rPr>
        <w:t xml:space="preserve"> and emergency medicine more broadly</w:t>
      </w:r>
      <w:r>
        <w:rPr>
          <w:sz w:val="23"/>
          <w:szCs w:val="23"/>
        </w:rPr>
        <w:t>. As a recent RCS briefing set out</w:t>
      </w:r>
      <w:r w:rsidR="004A3E7C">
        <w:rPr>
          <w:sz w:val="23"/>
          <w:szCs w:val="23"/>
        </w:rPr>
        <w:t>,</w:t>
      </w:r>
      <w:r>
        <w:rPr>
          <w:sz w:val="23"/>
          <w:szCs w:val="23"/>
        </w:rPr>
        <w:t xml:space="preserve"> </w:t>
      </w:r>
      <w:r w:rsidR="004A3E7C">
        <w:rPr>
          <w:sz w:val="23"/>
          <w:szCs w:val="23"/>
        </w:rPr>
        <w:t xml:space="preserve">there are wide variations in mortality rates in </w:t>
      </w:r>
      <w:r>
        <w:rPr>
          <w:sz w:val="23"/>
          <w:szCs w:val="23"/>
        </w:rPr>
        <w:t xml:space="preserve">urgent and emergency surgery </w:t>
      </w:r>
      <w:r w:rsidR="00CF19B8">
        <w:rPr>
          <w:sz w:val="23"/>
          <w:szCs w:val="23"/>
        </w:rPr>
        <w:t>and poor readmission rates.</w:t>
      </w:r>
      <w:r w:rsidR="00B66436">
        <w:rPr>
          <w:rStyle w:val="FootnoteReference"/>
          <w:sz w:val="23"/>
          <w:szCs w:val="23"/>
        </w:rPr>
        <w:footnoteReference w:id="4"/>
      </w:r>
      <w:r w:rsidR="00CF19B8">
        <w:rPr>
          <w:sz w:val="23"/>
          <w:szCs w:val="23"/>
        </w:rPr>
        <w:t xml:space="preserve"> </w:t>
      </w:r>
      <w:r w:rsidR="004A3E7C">
        <w:rPr>
          <w:sz w:val="23"/>
          <w:szCs w:val="23"/>
        </w:rPr>
        <w:t>E</w:t>
      </w:r>
      <w:r w:rsidR="00CF19B8">
        <w:rPr>
          <w:sz w:val="23"/>
          <w:szCs w:val="23"/>
        </w:rPr>
        <w:t>mergency surgery is at risk of becoming a Cinderella service in the NHS.</w:t>
      </w:r>
    </w:p>
    <w:p w:rsidR="00ED6030" w:rsidRPr="004E43AC" w:rsidRDefault="00122A3C" w:rsidP="00812612">
      <w:pPr>
        <w:pStyle w:val="NoSpacing"/>
        <w:numPr>
          <w:ilvl w:val="1"/>
          <w:numId w:val="1"/>
        </w:numPr>
        <w:rPr>
          <w:b/>
          <w:sz w:val="23"/>
          <w:szCs w:val="23"/>
        </w:rPr>
      </w:pPr>
      <w:r>
        <w:rPr>
          <w:sz w:val="23"/>
          <w:szCs w:val="23"/>
        </w:rPr>
        <w:t xml:space="preserve">The </w:t>
      </w:r>
      <w:r w:rsidR="00124B03">
        <w:rPr>
          <w:sz w:val="23"/>
          <w:szCs w:val="23"/>
        </w:rPr>
        <w:t>NHS</w:t>
      </w:r>
      <w:r>
        <w:rPr>
          <w:sz w:val="23"/>
          <w:szCs w:val="23"/>
        </w:rPr>
        <w:t xml:space="preserve"> has</w:t>
      </w:r>
      <w:r w:rsidR="00710E68">
        <w:rPr>
          <w:sz w:val="23"/>
          <w:szCs w:val="23"/>
        </w:rPr>
        <w:t xml:space="preserve"> remained </w:t>
      </w:r>
      <w:r w:rsidR="00A669A3">
        <w:rPr>
          <w:sz w:val="23"/>
          <w:szCs w:val="23"/>
        </w:rPr>
        <w:t xml:space="preserve">financially </w:t>
      </w:r>
      <w:r w:rsidR="00710E68">
        <w:rPr>
          <w:sz w:val="23"/>
          <w:szCs w:val="23"/>
        </w:rPr>
        <w:t>robust</w:t>
      </w:r>
      <w:r>
        <w:rPr>
          <w:sz w:val="23"/>
          <w:szCs w:val="23"/>
        </w:rPr>
        <w:t xml:space="preserve"> </w:t>
      </w:r>
      <w:r w:rsidR="00AC7725">
        <w:rPr>
          <w:sz w:val="23"/>
          <w:szCs w:val="23"/>
        </w:rPr>
        <w:t>in the face of austerity</w:t>
      </w:r>
      <w:r>
        <w:rPr>
          <w:sz w:val="23"/>
          <w:szCs w:val="23"/>
        </w:rPr>
        <w:t xml:space="preserve"> related pressures but is now finding it increasingly harder to remain in balance. For example,</w:t>
      </w:r>
      <w:r w:rsidR="00CF0CAE">
        <w:rPr>
          <w:sz w:val="23"/>
          <w:szCs w:val="23"/>
        </w:rPr>
        <w:t xml:space="preserve"> in the last financial year NHS trusts posted a combined surplus of £383m. This year however,</w:t>
      </w:r>
      <w:r>
        <w:rPr>
          <w:sz w:val="23"/>
          <w:szCs w:val="23"/>
        </w:rPr>
        <w:t xml:space="preserve"> </w:t>
      </w:r>
      <w:r w:rsidR="00CF0CAE">
        <w:rPr>
          <w:sz w:val="23"/>
          <w:szCs w:val="23"/>
        </w:rPr>
        <w:t>the Nuffield Trust is predicting a net deficit for the sector of just over £100m</w:t>
      </w:r>
      <w:r>
        <w:rPr>
          <w:sz w:val="23"/>
          <w:szCs w:val="23"/>
        </w:rPr>
        <w:t>.</w:t>
      </w:r>
      <w:r w:rsidR="00DC5CA0">
        <w:rPr>
          <w:rStyle w:val="FootnoteReference"/>
          <w:sz w:val="23"/>
          <w:szCs w:val="23"/>
        </w:rPr>
        <w:footnoteReference w:id="5"/>
      </w:r>
    </w:p>
    <w:p w:rsidR="009838B1" w:rsidRPr="004E43AC" w:rsidRDefault="009838B1" w:rsidP="004E43AC">
      <w:pPr>
        <w:pStyle w:val="NoSpacing"/>
        <w:ind w:left="792"/>
        <w:rPr>
          <w:b/>
          <w:sz w:val="23"/>
          <w:szCs w:val="23"/>
        </w:rPr>
      </w:pPr>
    </w:p>
    <w:p w:rsidR="008C167B" w:rsidRDefault="001D3B0C" w:rsidP="008C167B">
      <w:pPr>
        <w:pStyle w:val="NoSpacing"/>
        <w:numPr>
          <w:ilvl w:val="0"/>
          <w:numId w:val="1"/>
        </w:numPr>
        <w:rPr>
          <w:b/>
          <w:sz w:val="23"/>
          <w:szCs w:val="23"/>
        </w:rPr>
      </w:pPr>
      <w:r>
        <w:rPr>
          <w:b/>
          <w:sz w:val="23"/>
          <w:szCs w:val="23"/>
        </w:rPr>
        <w:t>Short and medium term risks to the acute sector</w:t>
      </w:r>
    </w:p>
    <w:p w:rsidR="008C167B" w:rsidRDefault="008C167B" w:rsidP="008C167B">
      <w:pPr>
        <w:pStyle w:val="NoSpacing"/>
        <w:ind w:left="720"/>
        <w:rPr>
          <w:b/>
          <w:sz w:val="23"/>
          <w:szCs w:val="23"/>
        </w:rPr>
      </w:pPr>
    </w:p>
    <w:p w:rsidR="008C167B" w:rsidRPr="00F82075" w:rsidRDefault="001D3B0C" w:rsidP="008C167B">
      <w:pPr>
        <w:pStyle w:val="NoSpacing"/>
        <w:numPr>
          <w:ilvl w:val="1"/>
          <w:numId w:val="1"/>
        </w:numPr>
        <w:rPr>
          <w:sz w:val="23"/>
          <w:szCs w:val="23"/>
        </w:rPr>
      </w:pPr>
      <w:r w:rsidRPr="00F82075">
        <w:rPr>
          <w:i/>
          <w:sz w:val="23"/>
          <w:szCs w:val="23"/>
        </w:rPr>
        <w:t>Demographic changes</w:t>
      </w:r>
    </w:p>
    <w:p w:rsidR="008C167B" w:rsidRPr="008C167B" w:rsidRDefault="009838B1" w:rsidP="008C167B">
      <w:pPr>
        <w:pStyle w:val="NoSpacing"/>
        <w:numPr>
          <w:ilvl w:val="2"/>
          <w:numId w:val="1"/>
        </w:numPr>
        <w:rPr>
          <w:b/>
          <w:sz w:val="23"/>
          <w:szCs w:val="23"/>
        </w:rPr>
      </w:pPr>
      <w:r w:rsidRPr="008C167B">
        <w:rPr>
          <w:sz w:val="23"/>
          <w:szCs w:val="23"/>
        </w:rPr>
        <w:t>A</w:t>
      </w:r>
      <w:r w:rsidR="00A34D94" w:rsidRPr="008C167B">
        <w:rPr>
          <w:sz w:val="23"/>
          <w:szCs w:val="23"/>
        </w:rPr>
        <w:t xml:space="preserve"> number of factors mean that a</w:t>
      </w:r>
      <w:r w:rsidR="00CF0CAE" w:rsidRPr="008C167B">
        <w:rPr>
          <w:sz w:val="23"/>
          <w:szCs w:val="23"/>
        </w:rPr>
        <w:t>cute trust finances</w:t>
      </w:r>
      <w:r w:rsidR="00122A3C" w:rsidRPr="008C167B">
        <w:rPr>
          <w:sz w:val="23"/>
          <w:szCs w:val="23"/>
        </w:rPr>
        <w:t xml:space="preserve"> a</w:t>
      </w:r>
      <w:r w:rsidR="00A34D94" w:rsidRPr="008C167B">
        <w:rPr>
          <w:sz w:val="23"/>
          <w:szCs w:val="23"/>
        </w:rPr>
        <w:t xml:space="preserve">re </w:t>
      </w:r>
      <w:r w:rsidR="00710E68" w:rsidRPr="008C167B">
        <w:rPr>
          <w:sz w:val="23"/>
          <w:szCs w:val="23"/>
        </w:rPr>
        <w:t xml:space="preserve">likely to come </w:t>
      </w:r>
      <w:r w:rsidR="00A34D94" w:rsidRPr="008C167B">
        <w:rPr>
          <w:sz w:val="23"/>
          <w:szCs w:val="23"/>
        </w:rPr>
        <w:t xml:space="preserve">under </w:t>
      </w:r>
      <w:r w:rsidR="00CF0CAE" w:rsidRPr="008C167B">
        <w:rPr>
          <w:sz w:val="23"/>
          <w:szCs w:val="23"/>
        </w:rPr>
        <w:t>particular</w:t>
      </w:r>
      <w:r w:rsidR="00A34D94" w:rsidRPr="008C167B">
        <w:rPr>
          <w:sz w:val="23"/>
          <w:szCs w:val="23"/>
        </w:rPr>
        <w:t xml:space="preserve"> strain</w:t>
      </w:r>
      <w:r w:rsidR="00A669A3" w:rsidRPr="008C167B">
        <w:rPr>
          <w:sz w:val="23"/>
          <w:szCs w:val="23"/>
        </w:rPr>
        <w:t xml:space="preserve"> over the next few years</w:t>
      </w:r>
      <w:r w:rsidR="003275F8">
        <w:rPr>
          <w:sz w:val="23"/>
          <w:szCs w:val="23"/>
        </w:rPr>
        <w:t>,</w:t>
      </w:r>
      <w:r w:rsidRPr="008C167B">
        <w:rPr>
          <w:sz w:val="23"/>
          <w:szCs w:val="23"/>
        </w:rPr>
        <w:t xml:space="preserve"> including </w:t>
      </w:r>
      <w:r w:rsidR="003275F8">
        <w:rPr>
          <w:sz w:val="23"/>
          <w:szCs w:val="23"/>
        </w:rPr>
        <w:t xml:space="preserve">from </w:t>
      </w:r>
      <w:r w:rsidRPr="008C167B">
        <w:rPr>
          <w:sz w:val="23"/>
          <w:szCs w:val="23"/>
        </w:rPr>
        <w:t>r</w:t>
      </w:r>
      <w:r w:rsidR="00A34D94" w:rsidRPr="008C167B">
        <w:rPr>
          <w:sz w:val="23"/>
          <w:szCs w:val="23"/>
        </w:rPr>
        <w:t>ising demand driven by demographic change</w:t>
      </w:r>
      <w:r w:rsidR="00DC5CA0" w:rsidRPr="008C167B">
        <w:rPr>
          <w:sz w:val="23"/>
          <w:szCs w:val="23"/>
        </w:rPr>
        <w:t>.</w:t>
      </w:r>
      <w:r w:rsidR="003275F8">
        <w:rPr>
          <w:sz w:val="23"/>
          <w:szCs w:val="23"/>
        </w:rPr>
        <w:t xml:space="preserve"> With a growing </w:t>
      </w:r>
      <w:r w:rsidR="00124B03">
        <w:rPr>
          <w:sz w:val="23"/>
          <w:szCs w:val="23"/>
        </w:rPr>
        <w:t>older</w:t>
      </w:r>
      <w:r w:rsidR="003275F8">
        <w:rPr>
          <w:sz w:val="23"/>
          <w:szCs w:val="23"/>
        </w:rPr>
        <w:t xml:space="preserve"> population</w:t>
      </w:r>
      <w:r w:rsidR="00124B03">
        <w:rPr>
          <w:sz w:val="23"/>
          <w:szCs w:val="23"/>
        </w:rPr>
        <w:t>,</w:t>
      </w:r>
      <w:r w:rsidR="003275F8">
        <w:rPr>
          <w:sz w:val="23"/>
          <w:szCs w:val="23"/>
        </w:rPr>
        <w:t xml:space="preserve"> demand for surgical services will increase</w:t>
      </w:r>
      <w:r w:rsidR="00124B03">
        <w:rPr>
          <w:sz w:val="23"/>
          <w:szCs w:val="23"/>
        </w:rPr>
        <w:t xml:space="preserve"> </w:t>
      </w:r>
      <w:r w:rsidR="003275F8">
        <w:rPr>
          <w:sz w:val="23"/>
          <w:szCs w:val="23"/>
        </w:rPr>
        <w:t>particularly for orthopaedic operations such as hip and knee replacement as well as surgery to treat conditions</w:t>
      </w:r>
      <w:r w:rsidR="00441357">
        <w:rPr>
          <w:sz w:val="23"/>
          <w:szCs w:val="23"/>
        </w:rPr>
        <w:t xml:space="preserve"> more common in the </w:t>
      </w:r>
      <w:r w:rsidR="00124B03">
        <w:rPr>
          <w:sz w:val="23"/>
          <w:szCs w:val="23"/>
        </w:rPr>
        <w:t>older people</w:t>
      </w:r>
      <w:r w:rsidR="00441357">
        <w:rPr>
          <w:sz w:val="23"/>
          <w:szCs w:val="23"/>
        </w:rPr>
        <w:t>, such as c</w:t>
      </w:r>
      <w:r w:rsidR="003275F8">
        <w:rPr>
          <w:sz w:val="23"/>
          <w:szCs w:val="23"/>
        </w:rPr>
        <w:t>ancer.</w:t>
      </w:r>
      <w:r w:rsidR="00DC5CA0" w:rsidRPr="008C167B">
        <w:rPr>
          <w:sz w:val="23"/>
          <w:szCs w:val="23"/>
        </w:rPr>
        <w:t xml:space="preserve"> </w:t>
      </w:r>
    </w:p>
    <w:p w:rsidR="008C167B" w:rsidRDefault="008C167B" w:rsidP="008C167B">
      <w:pPr>
        <w:pStyle w:val="NoSpacing"/>
        <w:ind w:left="1584"/>
        <w:rPr>
          <w:b/>
          <w:sz w:val="23"/>
          <w:szCs w:val="23"/>
        </w:rPr>
      </w:pPr>
    </w:p>
    <w:p w:rsidR="008C167B" w:rsidRPr="00F82075" w:rsidRDefault="001D3B0C" w:rsidP="008C167B">
      <w:pPr>
        <w:pStyle w:val="NoSpacing"/>
        <w:numPr>
          <w:ilvl w:val="1"/>
          <w:numId w:val="1"/>
        </w:numPr>
        <w:rPr>
          <w:sz w:val="23"/>
          <w:szCs w:val="23"/>
        </w:rPr>
      </w:pPr>
      <w:r w:rsidRPr="00F82075">
        <w:rPr>
          <w:i/>
          <w:sz w:val="23"/>
          <w:szCs w:val="23"/>
        </w:rPr>
        <w:t>Better Care Fund</w:t>
      </w:r>
    </w:p>
    <w:p w:rsidR="008C167B" w:rsidRPr="008C167B" w:rsidRDefault="009838B1" w:rsidP="008C167B">
      <w:pPr>
        <w:pStyle w:val="NoSpacing"/>
        <w:numPr>
          <w:ilvl w:val="2"/>
          <w:numId w:val="1"/>
        </w:numPr>
        <w:rPr>
          <w:b/>
          <w:sz w:val="23"/>
          <w:szCs w:val="23"/>
        </w:rPr>
      </w:pPr>
      <w:r>
        <w:rPr>
          <w:sz w:val="23"/>
          <w:szCs w:val="23"/>
        </w:rPr>
        <w:t>T</w:t>
      </w:r>
      <w:r w:rsidR="00DC5CA0" w:rsidRPr="00720719">
        <w:rPr>
          <w:sz w:val="23"/>
          <w:szCs w:val="23"/>
        </w:rPr>
        <w:t>he Government’</w:t>
      </w:r>
      <w:r w:rsidR="00353823" w:rsidRPr="00720719">
        <w:rPr>
          <w:sz w:val="23"/>
          <w:szCs w:val="23"/>
        </w:rPr>
        <w:t>s Better Care Fund</w:t>
      </w:r>
      <w:r w:rsidR="00DC5CA0" w:rsidRPr="00720719">
        <w:rPr>
          <w:sz w:val="23"/>
          <w:szCs w:val="23"/>
        </w:rPr>
        <w:t xml:space="preserve"> </w:t>
      </w:r>
      <w:r w:rsidR="00B42335" w:rsidRPr="00720719">
        <w:rPr>
          <w:sz w:val="23"/>
          <w:szCs w:val="23"/>
        </w:rPr>
        <w:t>is an important step towards improving integration between</w:t>
      </w:r>
      <w:r w:rsidR="008441BA" w:rsidRPr="00720719">
        <w:rPr>
          <w:sz w:val="23"/>
          <w:szCs w:val="23"/>
        </w:rPr>
        <w:t xml:space="preserve"> health and social care</w:t>
      </w:r>
      <w:r>
        <w:rPr>
          <w:sz w:val="23"/>
          <w:szCs w:val="23"/>
        </w:rPr>
        <w:t>. However</w:t>
      </w:r>
      <w:r w:rsidR="008441BA" w:rsidRPr="00720719">
        <w:rPr>
          <w:sz w:val="23"/>
          <w:szCs w:val="23"/>
        </w:rPr>
        <w:t xml:space="preserve">, the </w:t>
      </w:r>
      <w:r w:rsidR="00124B03">
        <w:rPr>
          <w:sz w:val="23"/>
          <w:szCs w:val="23"/>
        </w:rPr>
        <w:t xml:space="preserve">approximately </w:t>
      </w:r>
      <w:r w:rsidR="008441BA" w:rsidRPr="00720719">
        <w:rPr>
          <w:sz w:val="23"/>
          <w:szCs w:val="23"/>
        </w:rPr>
        <w:t>£</w:t>
      </w:r>
      <w:r w:rsidR="00A669A3" w:rsidRPr="00720719">
        <w:rPr>
          <w:sz w:val="23"/>
          <w:szCs w:val="23"/>
        </w:rPr>
        <w:t>5bn</w:t>
      </w:r>
      <w:r w:rsidR="008441BA" w:rsidRPr="00720719">
        <w:rPr>
          <w:sz w:val="23"/>
          <w:szCs w:val="23"/>
        </w:rPr>
        <w:t xml:space="preserve"> that is to be pooled between the NHS and local government is not new or additional spending. </w:t>
      </w:r>
      <w:r w:rsidR="00A669A3" w:rsidRPr="00720719">
        <w:rPr>
          <w:sz w:val="23"/>
          <w:szCs w:val="23"/>
        </w:rPr>
        <w:t xml:space="preserve">Much of this money will need to be found from within existing </w:t>
      </w:r>
      <w:r w:rsidRPr="00720719">
        <w:rPr>
          <w:sz w:val="23"/>
          <w:szCs w:val="23"/>
        </w:rPr>
        <w:t xml:space="preserve">acute </w:t>
      </w:r>
      <w:r w:rsidR="00A669A3" w:rsidRPr="00720719">
        <w:rPr>
          <w:sz w:val="23"/>
          <w:szCs w:val="23"/>
        </w:rPr>
        <w:t xml:space="preserve">budgets. </w:t>
      </w:r>
      <w:r w:rsidR="00353823" w:rsidRPr="00720719">
        <w:rPr>
          <w:sz w:val="23"/>
          <w:szCs w:val="23"/>
        </w:rPr>
        <w:t xml:space="preserve">NHS England believes the investment </w:t>
      </w:r>
      <w:r w:rsidR="008441BA" w:rsidRPr="00720719">
        <w:rPr>
          <w:sz w:val="23"/>
          <w:szCs w:val="23"/>
        </w:rPr>
        <w:t xml:space="preserve">could </w:t>
      </w:r>
      <w:r w:rsidRPr="00720719">
        <w:rPr>
          <w:sz w:val="23"/>
          <w:szCs w:val="23"/>
        </w:rPr>
        <w:t xml:space="preserve">reduce pressures on hospital, such as reducing </w:t>
      </w:r>
      <w:r w:rsidR="008441BA" w:rsidRPr="00720719">
        <w:rPr>
          <w:sz w:val="23"/>
          <w:szCs w:val="23"/>
        </w:rPr>
        <w:t>emergency admissions</w:t>
      </w:r>
      <w:r w:rsidRPr="00720719">
        <w:rPr>
          <w:sz w:val="23"/>
          <w:szCs w:val="23"/>
        </w:rPr>
        <w:t xml:space="preserve"> by 15%</w:t>
      </w:r>
      <w:r w:rsidR="00B42335" w:rsidRPr="00720719">
        <w:rPr>
          <w:sz w:val="23"/>
          <w:szCs w:val="23"/>
        </w:rPr>
        <w:t>.</w:t>
      </w:r>
      <w:r w:rsidR="00A13E70">
        <w:rPr>
          <w:rStyle w:val="FootnoteReference"/>
          <w:sz w:val="23"/>
          <w:szCs w:val="23"/>
        </w:rPr>
        <w:footnoteReference w:id="6"/>
      </w:r>
      <w:r w:rsidR="00B42335" w:rsidRPr="00720719">
        <w:rPr>
          <w:sz w:val="23"/>
          <w:szCs w:val="23"/>
        </w:rPr>
        <w:t xml:space="preserve"> However,</w:t>
      </w:r>
      <w:r w:rsidR="008441BA" w:rsidRPr="00720719">
        <w:rPr>
          <w:sz w:val="23"/>
          <w:szCs w:val="23"/>
        </w:rPr>
        <w:t xml:space="preserve"> polling of trust finance directors by the King’s Fund </w:t>
      </w:r>
      <w:r w:rsidR="00B42335" w:rsidRPr="00720719">
        <w:rPr>
          <w:sz w:val="23"/>
          <w:szCs w:val="23"/>
        </w:rPr>
        <w:t>earlier this year found that</w:t>
      </w:r>
      <w:r w:rsidR="008441BA" w:rsidRPr="00720719">
        <w:rPr>
          <w:sz w:val="23"/>
          <w:szCs w:val="23"/>
        </w:rPr>
        <w:t xml:space="preserve"> </w:t>
      </w:r>
      <w:r w:rsidR="00710E68" w:rsidRPr="00720719">
        <w:rPr>
          <w:sz w:val="23"/>
          <w:szCs w:val="23"/>
        </w:rPr>
        <w:t>not a single director</w:t>
      </w:r>
      <w:r w:rsidR="00B42335" w:rsidRPr="00720719">
        <w:rPr>
          <w:sz w:val="23"/>
          <w:szCs w:val="23"/>
        </w:rPr>
        <w:t xml:space="preserve"> thought such a cut was likely.</w:t>
      </w:r>
      <w:r w:rsidR="00C40BBE">
        <w:rPr>
          <w:rStyle w:val="FootnoteReference"/>
          <w:sz w:val="23"/>
          <w:szCs w:val="23"/>
        </w:rPr>
        <w:footnoteReference w:id="7"/>
      </w:r>
    </w:p>
    <w:p w:rsidR="008C167B" w:rsidRPr="008C167B" w:rsidRDefault="00C40BBE" w:rsidP="008C167B">
      <w:pPr>
        <w:pStyle w:val="NoSpacing"/>
        <w:numPr>
          <w:ilvl w:val="2"/>
          <w:numId w:val="1"/>
        </w:numPr>
        <w:rPr>
          <w:b/>
          <w:sz w:val="23"/>
          <w:szCs w:val="23"/>
        </w:rPr>
      </w:pPr>
      <w:r w:rsidRPr="00720719">
        <w:rPr>
          <w:sz w:val="23"/>
          <w:szCs w:val="23"/>
        </w:rPr>
        <w:t>Further integration of health and social care is widely reg</w:t>
      </w:r>
      <w:r w:rsidR="009733BF" w:rsidRPr="00720719">
        <w:rPr>
          <w:sz w:val="23"/>
          <w:szCs w:val="23"/>
        </w:rPr>
        <w:t xml:space="preserve">arded as a key solution in meeting future health challenges. However, </w:t>
      </w:r>
      <w:r w:rsidR="000A728B" w:rsidRPr="00720719">
        <w:rPr>
          <w:sz w:val="23"/>
          <w:szCs w:val="23"/>
        </w:rPr>
        <w:t>recent research from the University of York suggests that</w:t>
      </w:r>
      <w:r w:rsidR="00293F1E" w:rsidRPr="00720719">
        <w:rPr>
          <w:sz w:val="23"/>
          <w:szCs w:val="23"/>
        </w:rPr>
        <w:t xml:space="preserve"> previous</w:t>
      </w:r>
      <w:r w:rsidR="000A728B" w:rsidRPr="00720719">
        <w:rPr>
          <w:sz w:val="23"/>
          <w:szCs w:val="23"/>
        </w:rPr>
        <w:t xml:space="preserve"> schemes </w:t>
      </w:r>
      <w:r w:rsidR="009838B1" w:rsidRPr="00720719">
        <w:rPr>
          <w:sz w:val="23"/>
          <w:szCs w:val="23"/>
        </w:rPr>
        <w:t>have not always</w:t>
      </w:r>
      <w:r w:rsidR="000A728B" w:rsidRPr="00720719">
        <w:rPr>
          <w:sz w:val="23"/>
          <w:szCs w:val="23"/>
        </w:rPr>
        <w:t xml:space="preserve"> succeed</w:t>
      </w:r>
      <w:r w:rsidR="00293F1E" w:rsidRPr="00720719">
        <w:rPr>
          <w:sz w:val="23"/>
          <w:szCs w:val="23"/>
        </w:rPr>
        <w:t>ed</w:t>
      </w:r>
      <w:r w:rsidR="000A728B" w:rsidRPr="00720719">
        <w:rPr>
          <w:sz w:val="23"/>
          <w:szCs w:val="23"/>
        </w:rPr>
        <w:t xml:space="preserve"> in their aims. </w:t>
      </w:r>
      <w:r w:rsidR="009838B1" w:rsidRPr="00720719">
        <w:rPr>
          <w:sz w:val="23"/>
          <w:szCs w:val="23"/>
        </w:rPr>
        <w:t xml:space="preserve">For example, </w:t>
      </w:r>
      <w:r w:rsidR="000A728B" w:rsidRPr="00720719">
        <w:rPr>
          <w:sz w:val="23"/>
          <w:szCs w:val="23"/>
        </w:rPr>
        <w:t xml:space="preserve">their study found that rather than </w:t>
      </w:r>
      <w:r w:rsidR="000A728B" w:rsidRPr="00720719">
        <w:rPr>
          <w:sz w:val="23"/>
          <w:szCs w:val="23"/>
        </w:rPr>
        <w:lastRenderedPageBreak/>
        <w:t>reducing demand, integrated care initiatives often revealed unmet need that</w:t>
      </w:r>
      <w:r w:rsidR="00293F1E" w:rsidRPr="00720719">
        <w:rPr>
          <w:sz w:val="23"/>
          <w:szCs w:val="23"/>
        </w:rPr>
        <w:t xml:space="preserve"> instead </w:t>
      </w:r>
      <w:r w:rsidR="00C5297C" w:rsidRPr="00720719">
        <w:rPr>
          <w:sz w:val="23"/>
          <w:szCs w:val="23"/>
        </w:rPr>
        <w:t>acted</w:t>
      </w:r>
      <w:r w:rsidR="00293F1E" w:rsidRPr="00720719">
        <w:rPr>
          <w:sz w:val="23"/>
          <w:szCs w:val="23"/>
        </w:rPr>
        <w:t xml:space="preserve"> to increase rather than reduce total costs</w:t>
      </w:r>
      <w:r w:rsidR="000A728B" w:rsidRPr="00720719">
        <w:rPr>
          <w:sz w:val="23"/>
          <w:szCs w:val="23"/>
        </w:rPr>
        <w:t>.</w:t>
      </w:r>
      <w:r w:rsidR="000A728B">
        <w:rPr>
          <w:rStyle w:val="FootnoteReference"/>
          <w:sz w:val="23"/>
          <w:szCs w:val="23"/>
        </w:rPr>
        <w:footnoteReference w:id="8"/>
      </w:r>
      <w:r w:rsidR="001D3B0C" w:rsidRPr="00720719">
        <w:rPr>
          <w:sz w:val="23"/>
          <w:szCs w:val="23"/>
        </w:rPr>
        <w:t xml:space="preserve"> Addressing clinical need</w:t>
      </w:r>
      <w:r w:rsidR="009838B1" w:rsidRPr="00720719">
        <w:rPr>
          <w:sz w:val="23"/>
          <w:szCs w:val="23"/>
        </w:rPr>
        <w:t xml:space="preserve"> is of course important but there is a risk that the Better Care Fund could put new pressures on </w:t>
      </w:r>
      <w:r w:rsidR="001D3B0C">
        <w:rPr>
          <w:sz w:val="23"/>
          <w:szCs w:val="23"/>
        </w:rPr>
        <w:t>acute care</w:t>
      </w:r>
      <w:r w:rsidR="009838B1" w:rsidRPr="00720719">
        <w:rPr>
          <w:sz w:val="23"/>
          <w:szCs w:val="23"/>
        </w:rPr>
        <w:t xml:space="preserve"> by reducing funding and increasing demand – es</w:t>
      </w:r>
      <w:r w:rsidR="001D3B0C" w:rsidRPr="00720719">
        <w:rPr>
          <w:sz w:val="23"/>
          <w:szCs w:val="23"/>
        </w:rPr>
        <w:t>pecially if patients do not utilise new community-based services.</w:t>
      </w:r>
      <w:r w:rsidR="008C167B">
        <w:rPr>
          <w:b/>
          <w:sz w:val="23"/>
          <w:szCs w:val="23"/>
        </w:rPr>
        <w:t xml:space="preserve"> </w:t>
      </w:r>
    </w:p>
    <w:p w:rsidR="008C167B" w:rsidRDefault="001D3B0C" w:rsidP="008C167B">
      <w:pPr>
        <w:pStyle w:val="NoSpacing"/>
        <w:numPr>
          <w:ilvl w:val="2"/>
          <w:numId w:val="1"/>
        </w:numPr>
        <w:rPr>
          <w:b/>
          <w:sz w:val="23"/>
          <w:szCs w:val="23"/>
        </w:rPr>
      </w:pPr>
      <w:r w:rsidRPr="008C167B">
        <w:rPr>
          <w:sz w:val="23"/>
          <w:szCs w:val="23"/>
        </w:rPr>
        <w:t>We are therefore pleased that the Government have indicated there needs to be ‘risk sharing’ in all better care fund plans to protect acute hospital finances.</w:t>
      </w:r>
      <w:r w:rsidR="00F82075">
        <w:rPr>
          <w:sz w:val="23"/>
          <w:szCs w:val="23"/>
        </w:rPr>
        <w:t xml:space="preserve"> </w:t>
      </w:r>
      <w:r w:rsidR="00124B03">
        <w:rPr>
          <w:sz w:val="23"/>
          <w:szCs w:val="23"/>
        </w:rPr>
        <w:t xml:space="preserve">We encourage the Committee to scrutinise these plans and to assess whether they are sufficient to cover the risks to hospitals. </w:t>
      </w:r>
      <w:r w:rsidRPr="008C167B">
        <w:rPr>
          <w:sz w:val="23"/>
          <w:szCs w:val="23"/>
        </w:rPr>
        <w:t xml:space="preserve"> </w:t>
      </w:r>
    </w:p>
    <w:p w:rsidR="008C167B" w:rsidRDefault="008C167B" w:rsidP="008C167B">
      <w:pPr>
        <w:pStyle w:val="ListParagraph"/>
        <w:rPr>
          <w:b/>
          <w:i/>
          <w:sz w:val="23"/>
          <w:szCs w:val="23"/>
        </w:rPr>
      </w:pPr>
    </w:p>
    <w:p w:rsidR="00720719" w:rsidRPr="00F82075" w:rsidRDefault="00720719" w:rsidP="008C167B">
      <w:pPr>
        <w:pStyle w:val="NoSpacing"/>
        <w:numPr>
          <w:ilvl w:val="1"/>
          <w:numId w:val="1"/>
        </w:numPr>
        <w:rPr>
          <w:sz w:val="23"/>
          <w:szCs w:val="23"/>
        </w:rPr>
      </w:pPr>
      <w:r w:rsidRPr="00F82075">
        <w:rPr>
          <w:i/>
          <w:sz w:val="23"/>
          <w:szCs w:val="23"/>
        </w:rPr>
        <w:t>Tariff changes</w:t>
      </w:r>
    </w:p>
    <w:p w:rsidR="0066522A" w:rsidRPr="00C1208D" w:rsidRDefault="0066522A" w:rsidP="008C167B">
      <w:pPr>
        <w:pStyle w:val="ListParagraph"/>
        <w:numPr>
          <w:ilvl w:val="2"/>
          <w:numId w:val="1"/>
        </w:numPr>
        <w:rPr>
          <w:b/>
        </w:rPr>
      </w:pPr>
      <w:r>
        <w:t xml:space="preserve">The RCS recognises that payment systems, including the national tariff, have incentivised access to treatment and helped to drive down waiting times. </w:t>
      </w:r>
    </w:p>
    <w:p w:rsidR="0066522A" w:rsidRPr="004E43AC" w:rsidRDefault="0066522A" w:rsidP="008C167B">
      <w:pPr>
        <w:pStyle w:val="ListParagraph"/>
        <w:numPr>
          <w:ilvl w:val="2"/>
          <w:numId w:val="1"/>
        </w:numPr>
        <w:rPr>
          <w:b/>
        </w:rPr>
      </w:pPr>
      <w:r>
        <w:t>We recently responded to Monitor and NHS England’s consultation on the tariff system for 2015/16 in which we set out our views on proposals for changes to the payment system</w:t>
      </w:r>
      <w:r w:rsidR="00C9520D">
        <w:rPr>
          <w:rStyle w:val="FootnoteReference"/>
        </w:rPr>
        <w:footnoteReference w:id="9"/>
      </w:r>
      <w:r>
        <w:t>. In our submission we outlined our support for the way in which encouraging local variation in the pricing system can help local service transformation, including by incentivising enhanced integration between health and social care.</w:t>
      </w:r>
      <w:r w:rsidR="00D34201" w:rsidRPr="00D34201">
        <w:t xml:space="preserve"> </w:t>
      </w:r>
      <w:r w:rsidR="00D34201">
        <w:t>We are also pleased to see Monitor and NHS England continue to propose new best practice tariffs.</w:t>
      </w:r>
    </w:p>
    <w:p w:rsidR="00D34201" w:rsidRPr="004E43AC" w:rsidRDefault="00D34201" w:rsidP="008C167B">
      <w:pPr>
        <w:pStyle w:val="ListParagraph"/>
        <w:numPr>
          <w:ilvl w:val="2"/>
          <w:numId w:val="1"/>
        </w:numPr>
        <w:rPr>
          <w:b/>
        </w:rPr>
      </w:pPr>
      <w:r>
        <w:t xml:space="preserve">However, we are concerned about the proposed 3-5% across the board price reduction for different services. We question the evidence base behind this proposal and such an efficiency saving, coming after additional years of savings, is unlikely to be applicable across all branches of surgery. Some surgical services are already </w:t>
      </w:r>
      <w:proofErr w:type="spellStart"/>
      <w:r>
        <w:t>underpriced</w:t>
      </w:r>
      <w:proofErr w:type="spellEnd"/>
      <w:r>
        <w:t xml:space="preserve"> and these prices may simply encourage the use of inferior but cheaper techniques or treatments</w:t>
      </w:r>
      <w:r w:rsidR="00FF418D">
        <w:t>, reducing the quality of the</w:t>
      </w:r>
      <w:r w:rsidR="00955765">
        <w:t xml:space="preserve"> service.</w:t>
      </w:r>
    </w:p>
    <w:p w:rsidR="0066522A" w:rsidRPr="004E43AC" w:rsidRDefault="00D34201" w:rsidP="008C167B">
      <w:pPr>
        <w:pStyle w:val="ListParagraph"/>
        <w:numPr>
          <w:ilvl w:val="2"/>
          <w:numId w:val="1"/>
        </w:numPr>
        <w:rPr>
          <w:b/>
        </w:rPr>
      </w:pPr>
      <w:r>
        <w:t>We also remain concerned that the tariff for urgent and emergency care currently penalises acute hospitals. We are disappointed that the marginal tariff for emergency care will remain unchanged until the wider review of urgent and emergency care for 2016/17 prices. The Committee has previously commented on this issue and we remain adamant that the marginal tariff simply needs to be abolished.</w:t>
      </w:r>
    </w:p>
    <w:p w:rsidR="0066522A" w:rsidRPr="00985242" w:rsidRDefault="00C9520D" w:rsidP="004E43AC">
      <w:pPr>
        <w:pStyle w:val="ListParagraph"/>
        <w:numPr>
          <w:ilvl w:val="2"/>
          <w:numId w:val="1"/>
        </w:numPr>
        <w:rPr>
          <w:b/>
        </w:rPr>
      </w:pPr>
      <w:r>
        <w:t>There has been insufficient public scrutiny of NHS England and Monitor’s pro</w:t>
      </w:r>
      <w:r w:rsidR="00286625">
        <w:t>posals to date. W</w:t>
      </w:r>
      <w:r>
        <w:t xml:space="preserve">e encourage the Health Committee to probe the pricing proposals for 2015/16 and better understand the effects this will have on patient care. </w:t>
      </w:r>
    </w:p>
    <w:p w:rsidR="0029296D" w:rsidRPr="0029296D" w:rsidRDefault="0029296D" w:rsidP="0029296D">
      <w:pPr>
        <w:pStyle w:val="NoSpacing"/>
        <w:ind w:left="1224"/>
        <w:rPr>
          <w:b/>
          <w:sz w:val="23"/>
          <w:szCs w:val="23"/>
        </w:rPr>
      </w:pPr>
    </w:p>
    <w:p w:rsidR="0029296D" w:rsidRPr="0029296D" w:rsidRDefault="0029296D" w:rsidP="0029296D">
      <w:pPr>
        <w:pStyle w:val="ListParagraph"/>
        <w:numPr>
          <w:ilvl w:val="0"/>
          <w:numId w:val="1"/>
        </w:numPr>
        <w:rPr>
          <w:b/>
        </w:rPr>
      </w:pPr>
      <w:r w:rsidRPr="0029296D">
        <w:rPr>
          <w:b/>
        </w:rPr>
        <w:t>Evidence of rationing decisions</w:t>
      </w:r>
    </w:p>
    <w:p w:rsidR="007C1BFE" w:rsidRPr="007C1BFE" w:rsidRDefault="00720719" w:rsidP="0029296D">
      <w:pPr>
        <w:pStyle w:val="ListParagraph"/>
        <w:numPr>
          <w:ilvl w:val="1"/>
          <w:numId w:val="1"/>
        </w:numPr>
        <w:rPr>
          <w:b/>
        </w:rPr>
      </w:pPr>
      <w:r>
        <w:t>I</w:t>
      </w:r>
      <w:r w:rsidR="007C1BFE">
        <w:t xml:space="preserve">n the past </w:t>
      </w:r>
      <w:r>
        <w:t xml:space="preserve">the NHS </w:t>
      </w:r>
      <w:r w:rsidR="00543756">
        <w:t xml:space="preserve">has sometimes </w:t>
      </w:r>
      <w:r w:rsidR="0029296D">
        <w:t xml:space="preserve">sought </w:t>
      </w:r>
      <w:r w:rsidR="007C1BFE">
        <w:t xml:space="preserve">to overcome financial pressures </w:t>
      </w:r>
      <w:r w:rsidR="00543756">
        <w:t xml:space="preserve">through short-term measures such as </w:t>
      </w:r>
      <w:r w:rsidR="0029296D">
        <w:t xml:space="preserve">restricting access to </w:t>
      </w:r>
      <w:r w:rsidR="00543756">
        <w:t>medical care</w:t>
      </w:r>
      <w:r w:rsidR="0029296D">
        <w:t xml:space="preserve">.  </w:t>
      </w:r>
      <w:r w:rsidR="007C1BFE">
        <w:t xml:space="preserve">We firmly believe that access to surgery should be based on clinical need only and should not be compromised by financial constraints. </w:t>
      </w:r>
    </w:p>
    <w:p w:rsidR="007C1BFE" w:rsidRPr="007C1BFE" w:rsidRDefault="00543756" w:rsidP="007C1BFE">
      <w:pPr>
        <w:pStyle w:val="ListParagraph"/>
        <w:numPr>
          <w:ilvl w:val="1"/>
          <w:numId w:val="1"/>
        </w:numPr>
        <w:rPr>
          <w:b/>
        </w:rPr>
      </w:pPr>
      <w:r>
        <w:t xml:space="preserve">Restricting </w:t>
      </w:r>
      <w:r w:rsidR="007C1BFE">
        <w:t xml:space="preserve">access to treatment can impact on the outcomes of surgery, with evidence that patients are less mobile and suffer more pain if operations are delayed or denied. </w:t>
      </w:r>
      <w:r w:rsidR="007C1BFE">
        <w:lastRenderedPageBreak/>
        <w:t>In some cases, such as in the case of groin hernia repair, delays in operating can lead in rare circumstances to a strangulated hernia, which is a medical emergency.</w:t>
      </w:r>
    </w:p>
    <w:p w:rsidR="0029296D" w:rsidRPr="007C1BFE" w:rsidRDefault="007C1BFE" w:rsidP="0029296D">
      <w:pPr>
        <w:pStyle w:val="ListParagraph"/>
        <w:numPr>
          <w:ilvl w:val="1"/>
          <w:numId w:val="1"/>
        </w:numPr>
        <w:rPr>
          <w:b/>
        </w:rPr>
      </w:pPr>
      <w:r>
        <w:t xml:space="preserve">Under Primary Care Trusts the Committee previously commented on such actions, saying there was ‘disturbing evidence that the measures currently being used to control the financial situation could fairly </w:t>
      </w:r>
      <w:proofErr w:type="gramStart"/>
      <w:r>
        <w:t>be</w:t>
      </w:r>
      <w:proofErr w:type="gramEnd"/>
      <w:r>
        <w:t xml:space="preserve"> described as “short-term expedients” or “salami slicing”’.</w:t>
      </w:r>
      <w:r w:rsidR="00C5297C">
        <w:rPr>
          <w:rStyle w:val="FootnoteReference"/>
        </w:rPr>
        <w:footnoteReference w:id="10"/>
      </w:r>
    </w:p>
    <w:p w:rsidR="00AB648C" w:rsidRPr="00F82075" w:rsidRDefault="00543756" w:rsidP="00543756">
      <w:pPr>
        <w:pStyle w:val="ListParagraph"/>
        <w:numPr>
          <w:ilvl w:val="1"/>
          <w:numId w:val="1"/>
        </w:numPr>
        <w:rPr>
          <w:b/>
        </w:rPr>
      </w:pPr>
      <w:r>
        <w:t>In July we</w:t>
      </w:r>
      <w:r w:rsidR="00540C66">
        <w:t xml:space="preserve"> published </w:t>
      </w:r>
      <w:r w:rsidR="00540C66">
        <w:rPr>
          <w:i/>
        </w:rPr>
        <w:t>Is Access to Surgery a Postcode lottery</w:t>
      </w:r>
      <w:proofErr w:type="gramStart"/>
      <w:r w:rsidR="00540C66">
        <w:rPr>
          <w:i/>
        </w:rPr>
        <w:t>?</w:t>
      </w:r>
      <w:r w:rsidR="00E71109">
        <w:rPr>
          <w:i/>
        </w:rPr>
        <w:t>.</w:t>
      </w:r>
      <w:proofErr w:type="gramEnd"/>
      <w:r w:rsidR="00C5297C">
        <w:rPr>
          <w:rStyle w:val="FootnoteReference"/>
          <w:i/>
        </w:rPr>
        <w:footnoteReference w:id="11"/>
      </w:r>
      <w:r w:rsidR="00540C66">
        <w:rPr>
          <w:i/>
        </w:rPr>
        <w:t xml:space="preserve"> </w:t>
      </w:r>
      <w:r w:rsidR="00540C66">
        <w:t xml:space="preserve"> </w:t>
      </w:r>
      <w:r w:rsidR="00AB648C">
        <w:t>This study</w:t>
      </w:r>
      <w:r w:rsidR="00540C66">
        <w:t xml:space="preserve"> used information obtained through Freedom of Information requests to compare CCG commissioning policies with</w:t>
      </w:r>
      <w:r>
        <w:t xml:space="preserve"> expert</w:t>
      </w:r>
      <w:r w:rsidR="00540C66">
        <w:t xml:space="preserve"> </w:t>
      </w:r>
      <w:r>
        <w:t xml:space="preserve">commissioning </w:t>
      </w:r>
      <w:r w:rsidR="00540C66">
        <w:t xml:space="preserve">guidance </w:t>
      </w:r>
      <w:r w:rsidR="00553ABA">
        <w:t xml:space="preserve">published by </w:t>
      </w:r>
      <w:r w:rsidR="00540C66">
        <w:t>the RCS/surgical specialty associations</w:t>
      </w:r>
      <w:r w:rsidR="007461DE">
        <w:t xml:space="preserve"> (SSAs)</w:t>
      </w:r>
      <w:r w:rsidR="00540C66">
        <w:t xml:space="preserve"> and, where available, NICE. </w:t>
      </w:r>
      <w:r w:rsidR="00AB648C">
        <w:t xml:space="preserve">The research is the first major report to review whether new commissioners are </w:t>
      </w:r>
      <w:r>
        <w:t>ignoring clinical advice about acceptable commissioning thresholds</w:t>
      </w:r>
      <w:r w:rsidR="00E71109">
        <w:t>. The study</w:t>
      </w:r>
      <w:r w:rsidR="00AB648C">
        <w:t xml:space="preserve"> found:</w:t>
      </w:r>
    </w:p>
    <w:p w:rsidR="00F82075" w:rsidRPr="00AB648C" w:rsidRDefault="00F82075" w:rsidP="00F82075">
      <w:pPr>
        <w:pStyle w:val="ListParagraph"/>
        <w:ind w:left="1152"/>
        <w:rPr>
          <w:b/>
        </w:rPr>
      </w:pPr>
    </w:p>
    <w:p w:rsidR="00540C66" w:rsidRPr="00E71109" w:rsidRDefault="00AB648C" w:rsidP="00AB648C">
      <w:pPr>
        <w:pStyle w:val="ListParagraph"/>
        <w:numPr>
          <w:ilvl w:val="2"/>
          <w:numId w:val="1"/>
        </w:numPr>
        <w:rPr>
          <w:b/>
        </w:rPr>
      </w:pPr>
      <w:r>
        <w:t>73% of CCGs reviewed were not following NICE and clinical guidance on referral for hip replacement.</w:t>
      </w:r>
    </w:p>
    <w:p w:rsidR="00E71109" w:rsidRPr="00E71109" w:rsidRDefault="00E71109" w:rsidP="00AB648C">
      <w:pPr>
        <w:pStyle w:val="ListParagraph"/>
        <w:numPr>
          <w:ilvl w:val="2"/>
          <w:numId w:val="1"/>
        </w:numPr>
        <w:rPr>
          <w:b/>
        </w:rPr>
      </w:pPr>
      <w:r>
        <w:t xml:space="preserve">44% of CCGs required patients to be in various degrees of pain and immobility (with no consistency applied the country) or to lose weight </w:t>
      </w:r>
      <w:r w:rsidR="00543756">
        <w:t xml:space="preserve">prior to </w:t>
      </w:r>
      <w:r>
        <w:t>hip replacement surgery. This is considered unacceptable by NICE, the RCS and the British Orthopaedic Association.</w:t>
      </w:r>
    </w:p>
    <w:p w:rsidR="00E71109" w:rsidRPr="00E67DC3" w:rsidRDefault="00E71109" w:rsidP="00AB648C">
      <w:pPr>
        <w:pStyle w:val="ListParagraph"/>
        <w:numPr>
          <w:ilvl w:val="2"/>
          <w:numId w:val="1"/>
        </w:numPr>
        <w:rPr>
          <w:b/>
        </w:rPr>
      </w:pPr>
      <w:r>
        <w:t>Only 27% of CCGs from our sample have policies that comply with NICE or surgical guid</w:t>
      </w:r>
      <w:r w:rsidR="006C50E8">
        <w:t xml:space="preserve">ance on inguinal hernia repair. </w:t>
      </w:r>
      <w:r>
        <w:t>15% required evidence of a hernia increasing in size or a his</w:t>
      </w:r>
      <w:r w:rsidR="00E67DC3">
        <w:t>tory of the hernia not being abl</w:t>
      </w:r>
      <w:r>
        <w:t>e to return to the abdominal cavity (incarceration) even if a patient is suffering from debilitating pain.</w:t>
      </w:r>
    </w:p>
    <w:p w:rsidR="00E67DC3" w:rsidRPr="000F367C" w:rsidRDefault="00E67DC3" w:rsidP="00AB648C">
      <w:pPr>
        <w:pStyle w:val="ListParagraph"/>
        <w:numPr>
          <w:ilvl w:val="2"/>
          <w:numId w:val="1"/>
        </w:numPr>
        <w:rPr>
          <w:b/>
        </w:rPr>
      </w:pPr>
      <w:r>
        <w:t>Two CCGs had minimum ‘watchful waiting’ periods, meaning so</w:t>
      </w:r>
      <w:r w:rsidR="000F367C">
        <w:t>me patients may not access tonsillectomies for a year and a half</w:t>
      </w:r>
    </w:p>
    <w:p w:rsidR="000F367C" w:rsidRPr="00B7777A" w:rsidRDefault="000F367C" w:rsidP="00AB648C">
      <w:pPr>
        <w:pStyle w:val="ListParagraph"/>
        <w:numPr>
          <w:ilvl w:val="2"/>
          <w:numId w:val="1"/>
        </w:numPr>
        <w:rPr>
          <w:b/>
        </w:rPr>
      </w:pPr>
      <w:r>
        <w:t>77% of CCGs do follow clinical evidence on the commissioning of treatment for glue ear. However, six CCGs require minimum waits to watch for additional symptoms, contrary to clinical guidance.</w:t>
      </w:r>
    </w:p>
    <w:p w:rsidR="00B7777A" w:rsidRPr="00A9282F" w:rsidRDefault="00B7777A" w:rsidP="00B7777A">
      <w:pPr>
        <w:pStyle w:val="ListParagraph"/>
        <w:ind w:left="1224"/>
        <w:rPr>
          <w:b/>
        </w:rPr>
      </w:pPr>
    </w:p>
    <w:p w:rsidR="000F367C" w:rsidRPr="00FF4006" w:rsidRDefault="00A9282F" w:rsidP="00FF4006">
      <w:pPr>
        <w:pStyle w:val="ListParagraph"/>
        <w:numPr>
          <w:ilvl w:val="1"/>
          <w:numId w:val="1"/>
        </w:numPr>
        <w:rPr>
          <w:b/>
        </w:rPr>
      </w:pPr>
      <w:r>
        <w:t>Further data, published on the RCS website</w:t>
      </w:r>
      <w:r w:rsidR="00B7777A">
        <w:rPr>
          <w:rStyle w:val="FootnoteReference"/>
        </w:rPr>
        <w:footnoteReference w:id="12"/>
      </w:r>
      <w:r>
        <w:t xml:space="preserve">, demonstrates wide variations in age- and population-standardised rates of access to key surgical services, indicating a number of procedures are likely </w:t>
      </w:r>
      <w:r w:rsidR="00B7777A">
        <w:t xml:space="preserve">being </w:t>
      </w:r>
      <w:r w:rsidR="00702EC9">
        <w:t xml:space="preserve">restricted </w:t>
      </w:r>
      <w:r w:rsidR="00B7777A">
        <w:t>by CCGs or providers.</w:t>
      </w:r>
    </w:p>
    <w:p w:rsidR="00B7777A" w:rsidRPr="00FF4006" w:rsidRDefault="000F367C" w:rsidP="00FF4006">
      <w:pPr>
        <w:pStyle w:val="ListParagraph"/>
        <w:numPr>
          <w:ilvl w:val="1"/>
          <w:numId w:val="1"/>
        </w:numPr>
        <w:rPr>
          <w:b/>
        </w:rPr>
      </w:pPr>
      <w:r>
        <w:t>These findings are despite the fact that the Government has continually said that rationing of health services is unacceptable and that any restrictions should be based on clinical criteria only</w:t>
      </w:r>
      <w:r w:rsidR="00FF4006">
        <w:t>.</w:t>
      </w:r>
    </w:p>
    <w:p w:rsidR="00A9282F" w:rsidRPr="00B7777A" w:rsidRDefault="00A9282F" w:rsidP="00A9282F">
      <w:pPr>
        <w:pStyle w:val="ListParagraph"/>
        <w:numPr>
          <w:ilvl w:val="1"/>
          <w:numId w:val="1"/>
        </w:numPr>
        <w:rPr>
          <w:b/>
        </w:rPr>
      </w:pPr>
      <w:r>
        <w:t xml:space="preserve">It is clear that the financial </w:t>
      </w:r>
      <w:r w:rsidR="00B7777A">
        <w:t>challenges</w:t>
      </w:r>
      <w:r>
        <w:t xml:space="preserve"> in the acute sector</w:t>
      </w:r>
      <w:r w:rsidR="00B7777A">
        <w:t xml:space="preserve"> </w:t>
      </w:r>
      <w:r w:rsidR="000A49D9">
        <w:t xml:space="preserve">may encourage </w:t>
      </w:r>
      <w:r>
        <w:t xml:space="preserve">more </w:t>
      </w:r>
      <w:r w:rsidR="00B7777A">
        <w:t>commissioners to ration surgical services as they seek short-term ways of saving money.</w:t>
      </w:r>
    </w:p>
    <w:p w:rsidR="00B7777A" w:rsidRPr="00B7777A" w:rsidRDefault="00B7777A" w:rsidP="00B7777A">
      <w:pPr>
        <w:pStyle w:val="ListParagraph"/>
        <w:numPr>
          <w:ilvl w:val="1"/>
          <w:numId w:val="1"/>
        </w:numPr>
        <w:rPr>
          <w:b/>
        </w:rPr>
      </w:pPr>
      <w:r>
        <w:t xml:space="preserve">Nevertheless, the College position is clear: </w:t>
      </w:r>
      <w:r w:rsidR="00702EC9">
        <w:t xml:space="preserve">efficiency </w:t>
      </w:r>
      <w:r>
        <w:t>must not lead to shortcuts on quality and pa</w:t>
      </w:r>
      <w:r w:rsidR="00677AD6">
        <w:t>tient safety. The RCS</w:t>
      </w:r>
      <w:r w:rsidR="000A49D9">
        <w:t xml:space="preserve"> and surgical specialty associations (SSAs) are </w:t>
      </w:r>
      <w:r w:rsidR="00677AD6">
        <w:t>therefore</w:t>
      </w:r>
      <w:r>
        <w:t xml:space="preserve"> working alongside commissioners to reduce unexplained variations in service provision. </w:t>
      </w:r>
      <w:r w:rsidR="000A49D9">
        <w:t xml:space="preserve">RCS and SSA </w:t>
      </w:r>
      <w:r>
        <w:t>commissioning guides – published through a NICE accredited process – offer broad commissioning support with the aim of improving the health and wellbeing of patients and reducing unexplained variation in surgical service</w:t>
      </w:r>
      <w:r w:rsidR="000A49D9">
        <w:t>s</w:t>
      </w:r>
      <w:r w:rsidR="00AE6038">
        <w:t xml:space="preserve">. </w:t>
      </w:r>
      <w:r w:rsidR="00AE6038" w:rsidRPr="003A7A2E">
        <w:t>We urge the Government and NHS England to review what further action is required to ensure the NHS is providing equitable access to high-quality surgical care.</w:t>
      </w:r>
    </w:p>
    <w:p w:rsidR="00B7777A" w:rsidRPr="006C50E8" w:rsidRDefault="00AE6038" w:rsidP="00B7777A">
      <w:pPr>
        <w:pStyle w:val="ListParagraph"/>
        <w:numPr>
          <w:ilvl w:val="1"/>
          <w:numId w:val="1"/>
        </w:numPr>
        <w:rPr>
          <w:b/>
        </w:rPr>
      </w:pPr>
      <w:r>
        <w:lastRenderedPageBreak/>
        <w:t>However, we remain concerned that despite the availability of high quality guidance an</w:t>
      </w:r>
      <w:r w:rsidR="007461DE">
        <w:t>d advice</w:t>
      </w:r>
      <w:r w:rsidR="000A49D9">
        <w:t xml:space="preserve"> from NICE and professional associations</w:t>
      </w:r>
      <w:r w:rsidR="007461DE">
        <w:t xml:space="preserve">, as our research shows, many CCGs continue to ignore such resources with regards to their commissioning behaviour. </w:t>
      </w:r>
      <w:r w:rsidR="007461DE" w:rsidRPr="003A7A2E">
        <w:t xml:space="preserve">We encourage the </w:t>
      </w:r>
      <w:r w:rsidR="000A49D9" w:rsidRPr="003A7A2E">
        <w:t xml:space="preserve">Government </w:t>
      </w:r>
      <w:r w:rsidR="007461DE" w:rsidRPr="003A7A2E">
        <w:t xml:space="preserve">to </w:t>
      </w:r>
      <w:r w:rsidR="000A49D9" w:rsidRPr="003A7A2E">
        <w:t xml:space="preserve">remind </w:t>
      </w:r>
      <w:r w:rsidR="007461DE" w:rsidRPr="003A7A2E">
        <w:t xml:space="preserve">CCGs of the need to ensure their commissioning policies are in line with the clinical evidence base. </w:t>
      </w:r>
    </w:p>
    <w:p w:rsidR="006C50E8" w:rsidRDefault="006C50E8" w:rsidP="00B7777A">
      <w:pPr>
        <w:pStyle w:val="ListParagraph"/>
        <w:numPr>
          <w:ilvl w:val="1"/>
          <w:numId w:val="1"/>
        </w:numPr>
        <w:rPr>
          <w:b/>
        </w:rPr>
      </w:pPr>
      <w:r>
        <w:t xml:space="preserve">Government legislation also requires CCGs to publish policies on providing medicines, medical devices, diagnostic techniques, surgical procedures, or other therapeutic interventions. This should help to improve transparency around rationing decisions.  However, while this is a legal requirement, our research shows that many CCGs have still not published this information. For example, we found that 58% of CCGs in our </w:t>
      </w:r>
      <w:r>
        <w:rPr>
          <w:i/>
        </w:rPr>
        <w:t xml:space="preserve">Is Access to Surgery a Postcode Lottery? </w:t>
      </w:r>
      <w:proofErr w:type="gramStart"/>
      <w:r>
        <w:t>report</w:t>
      </w:r>
      <w:proofErr w:type="gramEnd"/>
      <w:r>
        <w:t xml:space="preserve"> sample group did not hold a commissioning policy for inguinal hernia repair. </w:t>
      </w:r>
      <w:r w:rsidRPr="003A7A2E">
        <w:t xml:space="preserve">We would like the </w:t>
      </w:r>
      <w:r w:rsidR="005E5053" w:rsidRPr="003A7A2E">
        <w:t>Government</w:t>
      </w:r>
      <w:r w:rsidRPr="003A7A2E">
        <w:t xml:space="preserve"> and NHS England to remind CCGs that this is a legal requirement.</w:t>
      </w:r>
    </w:p>
    <w:p w:rsidR="00487471" w:rsidRDefault="00487471" w:rsidP="00487471">
      <w:pPr>
        <w:pStyle w:val="ListParagraph"/>
        <w:ind w:left="792"/>
        <w:rPr>
          <w:b/>
        </w:rPr>
      </w:pPr>
    </w:p>
    <w:p w:rsidR="00F82075" w:rsidRPr="00F82075" w:rsidRDefault="00685D74" w:rsidP="00F82075">
      <w:pPr>
        <w:pStyle w:val="ListParagraph"/>
        <w:numPr>
          <w:ilvl w:val="0"/>
          <w:numId w:val="1"/>
        </w:numPr>
        <w:rPr>
          <w:b/>
        </w:rPr>
      </w:pPr>
      <w:r>
        <w:rPr>
          <w:b/>
        </w:rPr>
        <w:t>Financial pressures undermining c</w:t>
      </w:r>
      <w:r w:rsidR="00487471" w:rsidRPr="00487471">
        <w:rPr>
          <w:b/>
        </w:rPr>
        <w:t>o-ordinated care</w:t>
      </w:r>
    </w:p>
    <w:p w:rsidR="006D552D" w:rsidRPr="006D657E" w:rsidRDefault="000A49D9" w:rsidP="00F82075">
      <w:pPr>
        <w:pStyle w:val="ListParagraph"/>
        <w:numPr>
          <w:ilvl w:val="1"/>
          <w:numId w:val="1"/>
        </w:numPr>
        <w:rPr>
          <w:b/>
        </w:rPr>
      </w:pPr>
      <w:r>
        <w:t xml:space="preserve">A recent RCS survey of over 200 surgeons </w:t>
      </w:r>
      <w:r w:rsidR="00685D74">
        <w:t>suggests the financial pressure</w:t>
      </w:r>
      <w:r>
        <w:t xml:space="preserve"> experienced in social care </w:t>
      </w:r>
      <w:r w:rsidR="00685D74">
        <w:t>might</w:t>
      </w:r>
      <w:r>
        <w:t xml:space="preserve"> </w:t>
      </w:r>
      <w:r w:rsidR="00685D74">
        <w:t xml:space="preserve">affect </w:t>
      </w:r>
      <w:r>
        <w:t xml:space="preserve">the co-ordination of </w:t>
      </w:r>
      <w:r w:rsidR="00685D74">
        <w:t>care for surgical patients.</w:t>
      </w:r>
      <w:r w:rsidR="00627A88">
        <w:rPr>
          <w:rStyle w:val="FootnoteReference"/>
        </w:rPr>
        <w:footnoteReference w:id="13"/>
      </w:r>
      <w:r w:rsidR="00685D74">
        <w:t xml:space="preserve"> </w:t>
      </w:r>
      <w:r w:rsidR="006D552D">
        <w:t xml:space="preserve">Respondents highlighted a number of concerns regarding patient </w:t>
      </w:r>
      <w:r w:rsidR="00685D74">
        <w:t xml:space="preserve">transfer </w:t>
      </w:r>
      <w:r w:rsidR="006D552D">
        <w:t>from hospital</w:t>
      </w:r>
      <w:r w:rsidR="00685D74">
        <w:t xml:space="preserve"> (discharge)</w:t>
      </w:r>
      <w:r w:rsidR="006D552D">
        <w:t>:</w:t>
      </w:r>
    </w:p>
    <w:p w:rsidR="006D657E" w:rsidRPr="006D552D" w:rsidRDefault="006D657E" w:rsidP="006D657E">
      <w:pPr>
        <w:pStyle w:val="ListParagraph"/>
        <w:ind w:left="792"/>
        <w:rPr>
          <w:b/>
        </w:rPr>
      </w:pPr>
    </w:p>
    <w:p w:rsidR="006D657E" w:rsidRPr="004E43AC" w:rsidRDefault="006D657E" w:rsidP="006D552D">
      <w:pPr>
        <w:pStyle w:val="ListParagraph"/>
        <w:numPr>
          <w:ilvl w:val="2"/>
          <w:numId w:val="1"/>
        </w:numPr>
        <w:rPr>
          <w:b/>
        </w:rPr>
      </w:pPr>
      <w:r>
        <w:t xml:space="preserve">Only a quarter of surgeons felt there is a thorough </w:t>
      </w:r>
      <w:r w:rsidR="00685D74">
        <w:t xml:space="preserve">transfer </w:t>
      </w:r>
      <w:r>
        <w:t>planning process in place for patients leaving hospital. Many surgeons felt this had to happen much earlier, potentially at pre-assessment stage before surgery</w:t>
      </w:r>
      <w:r w:rsidR="00685D74">
        <w:t xml:space="preserve">. </w:t>
      </w:r>
    </w:p>
    <w:p w:rsidR="00685D74" w:rsidRPr="006D657E" w:rsidRDefault="00685D74" w:rsidP="006D552D">
      <w:pPr>
        <w:pStyle w:val="ListParagraph"/>
        <w:numPr>
          <w:ilvl w:val="2"/>
          <w:numId w:val="1"/>
        </w:numPr>
        <w:rPr>
          <w:b/>
        </w:rPr>
      </w:pPr>
      <w:r>
        <w:t>Respondents said social care services are not getting involved in transfer planning until after the operation. This may not be due to a lack of willingness but an effect of resource constraints.</w:t>
      </w:r>
    </w:p>
    <w:p w:rsidR="006D552D" w:rsidRPr="006D657E" w:rsidRDefault="006D657E" w:rsidP="006D552D">
      <w:pPr>
        <w:pStyle w:val="ListParagraph"/>
        <w:numPr>
          <w:ilvl w:val="2"/>
          <w:numId w:val="1"/>
        </w:numPr>
        <w:rPr>
          <w:b/>
        </w:rPr>
      </w:pPr>
      <w:r>
        <w:t>Surgeons felt that communication between medical professionals and community care organisations was very dependent on local arrangements and information sharing between the two needed to improve. For example, just 41% thought that carers were given enough information about the needs of patients on discharge.</w:t>
      </w:r>
    </w:p>
    <w:p w:rsidR="006D657E" w:rsidRPr="005E5053" w:rsidRDefault="006D657E" w:rsidP="006D657E">
      <w:pPr>
        <w:pStyle w:val="ListParagraph"/>
        <w:numPr>
          <w:ilvl w:val="2"/>
          <w:numId w:val="1"/>
        </w:numPr>
        <w:rPr>
          <w:b/>
        </w:rPr>
      </w:pPr>
      <w:r>
        <w:t>Respondents to our</w:t>
      </w:r>
      <w:r w:rsidR="005E5053">
        <w:t xml:space="preserve"> survey</w:t>
      </w:r>
      <w:r>
        <w:t xml:space="preserve"> highlighted a need for better access to primary, social and community care when patients leave hospital.</w:t>
      </w:r>
      <w:r w:rsidR="005E5053">
        <w:t xml:space="preserve"> </w:t>
      </w:r>
      <w:r>
        <w:t xml:space="preserve"> </w:t>
      </w:r>
    </w:p>
    <w:p w:rsidR="005E5053" w:rsidRPr="005E5053" w:rsidRDefault="005E5053" w:rsidP="005E5053">
      <w:pPr>
        <w:rPr>
          <w:b/>
        </w:rPr>
      </w:pPr>
    </w:p>
    <w:p w:rsidR="00B435FF" w:rsidRPr="00985242" w:rsidRDefault="005D59B4" w:rsidP="00985242">
      <w:pPr>
        <w:pStyle w:val="ListParagraph"/>
        <w:numPr>
          <w:ilvl w:val="1"/>
          <w:numId w:val="1"/>
        </w:numPr>
        <w:rPr>
          <w:b/>
        </w:rPr>
      </w:pPr>
      <w:r>
        <w:t xml:space="preserve">The Better Care Fund has the potential to reduce these problems but we </w:t>
      </w:r>
      <w:r w:rsidR="005B52ED">
        <w:t>encourage the Committee to acknowledge the problems at the interface of primary, secondary and c</w:t>
      </w:r>
      <w:r w:rsidR="00B435FF">
        <w:t>ommunity healthcare and urge</w:t>
      </w:r>
      <w:r w:rsidR="005B52ED">
        <w:t xml:space="preserve"> Government to </w:t>
      </w:r>
      <w:r w:rsidR="00B435FF">
        <w:t>consider how to</w:t>
      </w:r>
      <w:r w:rsidR="005B52ED">
        <w:t xml:space="preserve"> </w:t>
      </w:r>
      <w:r w:rsidR="008C7AFF">
        <w:t xml:space="preserve">better </w:t>
      </w:r>
      <w:r w:rsidR="005B52ED">
        <w:t xml:space="preserve">align the entire care system. </w:t>
      </w:r>
      <w:r w:rsidR="00B435FF">
        <w:t xml:space="preserve">Our survey </w:t>
      </w:r>
      <w:r>
        <w:t xml:space="preserve">shows </w:t>
      </w:r>
      <w:r w:rsidR="00B435FF">
        <w:t xml:space="preserve">improvement </w:t>
      </w:r>
      <w:r w:rsidR="008C7AFF">
        <w:t xml:space="preserve">will not </w:t>
      </w:r>
      <w:r>
        <w:t xml:space="preserve">only </w:t>
      </w:r>
      <w:r w:rsidR="00B435FF">
        <w:t>arise from substantial structural changes or huge financial investments but can in some cases be implemented through influencing culture and practice.</w:t>
      </w:r>
      <w:bookmarkStart w:id="0" w:name="_GoBack"/>
      <w:bookmarkEnd w:id="0"/>
    </w:p>
    <w:p w:rsidR="00F82075" w:rsidRPr="003A7A2E" w:rsidRDefault="00F82075" w:rsidP="003A7A2E">
      <w:pPr>
        <w:rPr>
          <w:b/>
        </w:rPr>
      </w:pPr>
    </w:p>
    <w:p w:rsidR="00B435FF" w:rsidRDefault="00B435FF" w:rsidP="00B435FF">
      <w:pPr>
        <w:pStyle w:val="ListParagraph"/>
        <w:numPr>
          <w:ilvl w:val="0"/>
          <w:numId w:val="1"/>
        </w:numPr>
        <w:rPr>
          <w:b/>
        </w:rPr>
      </w:pPr>
      <w:r>
        <w:rPr>
          <w:b/>
        </w:rPr>
        <w:t>Seven day services</w:t>
      </w:r>
    </w:p>
    <w:p w:rsidR="004E2D26" w:rsidRPr="004E2D26" w:rsidRDefault="00B435FF" w:rsidP="00B435FF">
      <w:pPr>
        <w:pStyle w:val="ListParagraph"/>
        <w:numPr>
          <w:ilvl w:val="1"/>
          <w:numId w:val="1"/>
        </w:numPr>
        <w:rPr>
          <w:b/>
        </w:rPr>
      </w:pPr>
      <w:r>
        <w:t xml:space="preserve">The RCS strongly supports the need for seven-day </w:t>
      </w:r>
      <w:r w:rsidR="004E2D26">
        <w:t>consultant</w:t>
      </w:r>
      <w:r w:rsidR="005D59B4">
        <w:t>-</w:t>
      </w:r>
      <w:r w:rsidR="004E2D26">
        <w:t xml:space="preserve">led </w:t>
      </w:r>
      <w:r>
        <w:t>services</w:t>
      </w:r>
      <w:r w:rsidR="004E2D26">
        <w:t xml:space="preserve">. We firmly believe that it is unacceptable that mortality and complication rates are significantly higher for patients admitted at the weekend. </w:t>
      </w:r>
      <w:r>
        <w:t xml:space="preserve"> </w:t>
      </w:r>
    </w:p>
    <w:p w:rsidR="0029296D" w:rsidRPr="009B79D7" w:rsidRDefault="004E2D26" w:rsidP="00812612">
      <w:pPr>
        <w:pStyle w:val="ListParagraph"/>
        <w:numPr>
          <w:ilvl w:val="1"/>
          <w:numId w:val="1"/>
        </w:numPr>
        <w:rPr>
          <w:b/>
        </w:rPr>
      </w:pPr>
      <w:r>
        <w:t>A</w:t>
      </w:r>
      <w:r w:rsidR="00553ABA">
        <w:t>n</w:t>
      </w:r>
      <w:r>
        <w:t xml:space="preserve"> Academy of Medical Royal Colleges’ report, chaired by ex-RCS President Norman Williams, set three clear standards for the service in delivering seven day care to hospital inpatients. These include a patient review by an on-site consultant at least once every 24 hours, seven days a week</w:t>
      </w:r>
      <w:r w:rsidR="009B79D7">
        <w:t>.</w:t>
      </w:r>
    </w:p>
    <w:p w:rsidR="009B79D7" w:rsidRDefault="009B79D7" w:rsidP="00812612">
      <w:pPr>
        <w:pStyle w:val="ListParagraph"/>
        <w:numPr>
          <w:ilvl w:val="1"/>
          <w:numId w:val="1"/>
        </w:numPr>
      </w:pPr>
      <w:r>
        <w:t xml:space="preserve">Many consultant surgeons already work at weekends in order to visit patients on whom they have operated during the week, but they cannot work effectively </w:t>
      </w:r>
      <w:r w:rsidR="003E5B4B">
        <w:t>when</w:t>
      </w:r>
      <w:r>
        <w:t xml:space="preserve"> </w:t>
      </w:r>
      <w:r w:rsidR="005D59B4">
        <w:t>other</w:t>
      </w:r>
      <w:r>
        <w:t xml:space="preserve"> </w:t>
      </w:r>
      <w:r>
        <w:lastRenderedPageBreak/>
        <w:t xml:space="preserve">services such as </w:t>
      </w:r>
      <w:r w:rsidR="00325C49">
        <w:t xml:space="preserve">diagnostics, </w:t>
      </w:r>
      <w:r>
        <w:t>pharmacy</w:t>
      </w:r>
      <w:r w:rsidR="00325C49">
        <w:t>, radiology</w:t>
      </w:r>
      <w:r>
        <w:t xml:space="preserve"> and physiotherapy are </w:t>
      </w:r>
      <w:r w:rsidR="005D59B4">
        <w:t>un</w:t>
      </w:r>
      <w:r w:rsidR="003E5B4B">
        <w:t>available</w:t>
      </w:r>
      <w:r>
        <w:t xml:space="preserve">. This should also extend to the community, where there is a need to ensure </w:t>
      </w:r>
      <w:r w:rsidR="003E5B4B">
        <w:t xml:space="preserve">full </w:t>
      </w:r>
      <w:r>
        <w:t xml:space="preserve">weekend access to social care services </w:t>
      </w:r>
      <w:r w:rsidR="003E5B4B">
        <w:t xml:space="preserve">so patients can be </w:t>
      </w:r>
      <w:r w:rsidR="00325C49">
        <w:t xml:space="preserve">transferred </w:t>
      </w:r>
      <w:r w:rsidR="003E5B4B">
        <w:t xml:space="preserve">when there is no longer a need </w:t>
      </w:r>
      <w:r w:rsidR="00196EE8">
        <w:t>for them to remain in hospital</w:t>
      </w:r>
      <w:r w:rsidR="003E5B4B">
        <w:t>.</w:t>
      </w:r>
    </w:p>
    <w:p w:rsidR="003E5B4B" w:rsidRDefault="00196EE8" w:rsidP="00221FB1">
      <w:pPr>
        <w:pStyle w:val="ListParagraph"/>
        <w:numPr>
          <w:ilvl w:val="1"/>
          <w:numId w:val="1"/>
        </w:numPr>
      </w:pPr>
      <w:r>
        <w:t>There</w:t>
      </w:r>
      <w:r w:rsidR="003E5B4B">
        <w:t xml:space="preserve"> will be resource implications for </w:t>
      </w:r>
      <w:r>
        <w:t xml:space="preserve">providing </w:t>
      </w:r>
      <w:r w:rsidR="003E5B4B">
        <w:t xml:space="preserve">seven day services. While, in the long-term, money might be saved through </w:t>
      </w:r>
      <w:r w:rsidR="00221FB1">
        <w:t>a potential reduction in fixed-costs (e.g. if inpatients can be treated across the week we may be able to reduce the number of beds)</w:t>
      </w:r>
      <w:r w:rsidR="003E5B4B">
        <w:t>, there are likely to be short-term cost</w:t>
      </w:r>
      <w:r w:rsidR="00221FB1">
        <w:t>s</w:t>
      </w:r>
      <w:r w:rsidR="003E5B4B">
        <w:t xml:space="preserve">. In the current financial environment </w:t>
      </w:r>
      <w:r w:rsidR="00221FB1">
        <w:t xml:space="preserve">there </w:t>
      </w:r>
      <w:r w:rsidR="003E5B4B">
        <w:t>may also be a need to centralise some service</w:t>
      </w:r>
      <w:r w:rsidR="00221FB1">
        <w:t>s</w:t>
      </w:r>
      <w:r w:rsidR="003E5B4B">
        <w:t xml:space="preserve"> onto fewer sites to ensure there is sufficient consultant cover and availability of services.</w:t>
      </w:r>
    </w:p>
    <w:p w:rsidR="0029296D" w:rsidRPr="003A7A2E" w:rsidRDefault="00221FB1" w:rsidP="00812612">
      <w:pPr>
        <w:pStyle w:val="ListParagraph"/>
        <w:numPr>
          <w:ilvl w:val="1"/>
          <w:numId w:val="1"/>
        </w:numPr>
      </w:pPr>
      <w:r w:rsidRPr="003A7A2E">
        <w:t>T</w:t>
      </w:r>
      <w:r w:rsidR="003E5B4B" w:rsidRPr="003A7A2E">
        <w:t>o aid NHS planning we believe it is imperative that the Government or NHS England should commission in-depth financial modelling of the anticipated cost</w:t>
      </w:r>
      <w:r w:rsidRPr="003A7A2E">
        <w:t>s</w:t>
      </w:r>
      <w:r w:rsidR="003E5B4B" w:rsidRPr="003A7A2E">
        <w:t xml:space="preserve"> of seven-day services</w:t>
      </w:r>
      <w:r w:rsidRPr="003A7A2E">
        <w:t xml:space="preserve"> and set out how they expect these to be funded</w:t>
      </w:r>
      <w:r w:rsidR="003E5B4B" w:rsidRPr="003A7A2E">
        <w:t>.</w:t>
      </w:r>
    </w:p>
    <w:p w:rsidR="003E5B4B" w:rsidRDefault="003E5B4B" w:rsidP="003E5B4B">
      <w:pPr>
        <w:pStyle w:val="ListParagraph"/>
        <w:ind w:left="792"/>
        <w:rPr>
          <w:b/>
        </w:rPr>
      </w:pPr>
    </w:p>
    <w:p w:rsidR="003E5B4B" w:rsidRDefault="00221FB1" w:rsidP="003E5B4B">
      <w:pPr>
        <w:pStyle w:val="ListParagraph"/>
        <w:numPr>
          <w:ilvl w:val="0"/>
          <w:numId w:val="1"/>
        </w:numPr>
        <w:rPr>
          <w:b/>
        </w:rPr>
      </w:pPr>
      <w:r>
        <w:rPr>
          <w:b/>
        </w:rPr>
        <w:t xml:space="preserve">Independent </w:t>
      </w:r>
      <w:r w:rsidR="003E5B4B">
        <w:rPr>
          <w:b/>
        </w:rPr>
        <w:t>sector involvement in the NHS</w:t>
      </w:r>
    </w:p>
    <w:p w:rsidR="003E5B4B" w:rsidRPr="00115561" w:rsidRDefault="00221FB1" w:rsidP="003E5B4B">
      <w:pPr>
        <w:pStyle w:val="ListParagraph"/>
        <w:numPr>
          <w:ilvl w:val="1"/>
          <w:numId w:val="1"/>
        </w:numPr>
        <w:rPr>
          <w:b/>
        </w:rPr>
      </w:pPr>
      <w:r>
        <w:t xml:space="preserve">The present inquiry’s terms of reference indicate the Committee will explore the use of the independent sector in the NHS. </w:t>
      </w:r>
      <w:r w:rsidR="003E5B4B">
        <w:t xml:space="preserve">The RCS supports </w:t>
      </w:r>
      <w:r w:rsidR="00955765">
        <w:t xml:space="preserve">provision of the highest quality service wherever </w:t>
      </w:r>
      <w:r w:rsidR="001B3CBB">
        <w:t>it is</w:t>
      </w:r>
      <w:r w:rsidR="00537D6D">
        <w:t xml:space="preserve"> provided</w:t>
      </w:r>
      <w:r w:rsidR="00FF418D">
        <w:t xml:space="preserve"> for the benefit of patients</w:t>
      </w:r>
      <w:r w:rsidR="00537D6D">
        <w:t>.</w:t>
      </w:r>
    </w:p>
    <w:p w:rsidR="00115561" w:rsidRPr="00115561" w:rsidRDefault="00115561" w:rsidP="003E5B4B">
      <w:pPr>
        <w:pStyle w:val="ListParagraph"/>
        <w:numPr>
          <w:ilvl w:val="1"/>
          <w:numId w:val="1"/>
        </w:numPr>
        <w:rPr>
          <w:b/>
        </w:rPr>
      </w:pPr>
      <w:r>
        <w:t xml:space="preserve">The independent sector is playing an increasing role in </w:t>
      </w:r>
      <w:r w:rsidR="001B3CBB">
        <w:t>providing</w:t>
      </w:r>
      <w:r>
        <w:t xml:space="preserve"> NHS </w:t>
      </w:r>
      <w:r w:rsidR="001B3CBB">
        <w:t>elective surgery</w:t>
      </w:r>
      <w:r>
        <w:t xml:space="preserve">. Although the independent sector only provides roughly 3% of all elective NHS care, </w:t>
      </w:r>
      <w:r w:rsidR="008C167B">
        <w:t>19</w:t>
      </w:r>
      <w:r>
        <w:t>%</w:t>
      </w:r>
      <w:r w:rsidR="008C167B">
        <w:t xml:space="preserve"> of all hip replacements and 22</w:t>
      </w:r>
      <w:r>
        <w:t xml:space="preserve">% of all knee replacements are now conducted </w:t>
      </w:r>
      <w:r w:rsidR="00A929FD">
        <w:t>by such organisations</w:t>
      </w:r>
      <w:r>
        <w:t>.</w:t>
      </w:r>
      <w:r w:rsidR="00426FBC">
        <w:rPr>
          <w:rStyle w:val="FootnoteReference"/>
        </w:rPr>
        <w:footnoteReference w:id="14"/>
      </w:r>
      <w:r>
        <w:t xml:space="preserve"> </w:t>
      </w:r>
      <w:r w:rsidR="00221FB1">
        <w:t xml:space="preserve">Surveys suggest many independent sector centres </w:t>
      </w:r>
      <w:r>
        <w:t>are highly regarded by patients.</w:t>
      </w:r>
      <w:r w:rsidR="008C167B">
        <w:rPr>
          <w:rStyle w:val="FootnoteReference"/>
        </w:rPr>
        <w:footnoteReference w:id="15"/>
      </w:r>
      <w:r w:rsidR="008C167B">
        <w:t xml:space="preserve"> </w:t>
      </w:r>
      <w:r w:rsidR="008C167B">
        <w:rPr>
          <w:rStyle w:val="FootnoteReference"/>
        </w:rPr>
        <w:footnoteReference w:id="16"/>
      </w:r>
    </w:p>
    <w:p w:rsidR="00115561" w:rsidRPr="004E43AC" w:rsidRDefault="00115561" w:rsidP="00221FB1">
      <w:pPr>
        <w:pStyle w:val="ListParagraph"/>
        <w:numPr>
          <w:ilvl w:val="1"/>
          <w:numId w:val="1"/>
        </w:numPr>
        <w:rPr>
          <w:b/>
        </w:rPr>
      </w:pPr>
      <w:r>
        <w:t xml:space="preserve">However, the RCS is concerned that </w:t>
      </w:r>
      <w:r w:rsidR="001B3CBB">
        <w:t xml:space="preserve">in </w:t>
      </w:r>
      <w:r>
        <w:t xml:space="preserve">the independent sector </w:t>
      </w:r>
      <w:r w:rsidR="001B3CBB">
        <w:t xml:space="preserve">education and training of the workforce is extremely </w:t>
      </w:r>
      <w:proofErr w:type="spellStart"/>
      <w:r w:rsidR="001B3CBB">
        <w:t>patchy.</w:t>
      </w:r>
      <w:r>
        <w:t>The</w:t>
      </w:r>
      <w:proofErr w:type="spellEnd"/>
      <w:r>
        <w:t xml:space="preserve"> sector should play </w:t>
      </w:r>
      <w:r w:rsidR="00221FB1">
        <w:t xml:space="preserve">a </w:t>
      </w:r>
      <w:r>
        <w:t>larger role in providing, delivering and funding education and training opportunities, since many independent providers currently benefit from staff trained at the public expense. Moreover, as an increasing number of surgical procedures move into the independent sector, this will increasingly become the most appropriate place for some specialty training to take place.</w:t>
      </w:r>
    </w:p>
    <w:p w:rsidR="00221FB1" w:rsidRPr="00221FB1" w:rsidRDefault="00221FB1" w:rsidP="00221FB1">
      <w:pPr>
        <w:pStyle w:val="ListParagraph"/>
        <w:numPr>
          <w:ilvl w:val="1"/>
          <w:numId w:val="1"/>
        </w:numPr>
        <w:rPr>
          <w:b/>
        </w:rPr>
      </w:pPr>
      <w:r>
        <w:t>We also urge commissioners to think carefully about the effect of commissioning independent sector providers on existing provision of surgical services. For example, taking surgeons and other staff from current providers and moving them to another site may destabilise existing services such as emergency care</w:t>
      </w:r>
      <w:r w:rsidR="0066522A">
        <w:t xml:space="preserve"> and create further fragmentation of the local health system</w:t>
      </w:r>
      <w:r>
        <w:t>.</w:t>
      </w:r>
      <w:r w:rsidR="0066522A">
        <w:t xml:space="preserve"> This may further undermine coordination of care.</w:t>
      </w:r>
      <w:r>
        <w:t xml:space="preserve"> It is important that tenders consider and avoid such negative consequences.</w:t>
      </w:r>
    </w:p>
    <w:p w:rsidR="00EE2080" w:rsidRPr="003E5B4B" w:rsidRDefault="00D7649D" w:rsidP="004E43AC">
      <w:pPr>
        <w:pStyle w:val="ListParagraph"/>
        <w:ind w:left="792"/>
        <w:rPr>
          <w:b/>
        </w:rPr>
      </w:pPr>
      <w:r>
        <w:t xml:space="preserve"> </w:t>
      </w:r>
    </w:p>
    <w:sectPr w:rsidR="00EE2080" w:rsidRPr="003E5B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CBB" w:rsidRDefault="001B3CBB" w:rsidP="00DC5CA0">
      <w:r>
        <w:separator/>
      </w:r>
    </w:p>
  </w:endnote>
  <w:endnote w:type="continuationSeparator" w:id="0">
    <w:p w:rsidR="001B3CBB" w:rsidRDefault="001B3CBB" w:rsidP="00DC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CBB" w:rsidRDefault="001B3CBB" w:rsidP="00DC5CA0">
      <w:r>
        <w:separator/>
      </w:r>
    </w:p>
  </w:footnote>
  <w:footnote w:type="continuationSeparator" w:id="0">
    <w:p w:rsidR="001B3CBB" w:rsidRDefault="001B3CBB" w:rsidP="00DC5CA0">
      <w:r>
        <w:continuationSeparator/>
      </w:r>
    </w:p>
  </w:footnote>
  <w:footnote w:id="1">
    <w:p w:rsidR="001B3CBB" w:rsidRDefault="001B3CBB">
      <w:pPr>
        <w:pStyle w:val="FootnoteText"/>
      </w:pPr>
      <w:r>
        <w:rPr>
          <w:rStyle w:val="FootnoteReference"/>
        </w:rPr>
        <w:footnoteRef/>
      </w:r>
      <w:r>
        <w:t xml:space="preserve"> </w:t>
      </w:r>
      <w:hyperlink r:id="rId1" w:history="1">
        <w:r w:rsidRPr="00321293">
          <w:rPr>
            <w:rStyle w:val="Hyperlink"/>
          </w:rPr>
          <w:t>http://www.conservativehome.com/platform/2014/08/jeremy-hunt-mp-no-one-should-have-to-wait-more-than-a-year-for-an-operation.html</w:t>
        </w:r>
      </w:hyperlink>
      <w:r>
        <w:t xml:space="preserve"> </w:t>
      </w:r>
    </w:p>
  </w:footnote>
  <w:footnote w:id="2">
    <w:p w:rsidR="001B3CBB" w:rsidRPr="003A7A2E" w:rsidRDefault="001B3CBB">
      <w:pPr>
        <w:pStyle w:val="FootnoteText"/>
        <w:rPr>
          <w:i/>
        </w:rPr>
      </w:pPr>
      <w:r>
        <w:rPr>
          <w:rStyle w:val="FootnoteReference"/>
        </w:rPr>
        <w:footnoteRef/>
      </w:r>
      <w:r>
        <w:t xml:space="preserve"> See our report </w:t>
      </w:r>
      <w:proofErr w:type="gramStart"/>
      <w:r>
        <w:rPr>
          <w:i/>
        </w:rPr>
        <w:t>Is</w:t>
      </w:r>
      <w:proofErr w:type="gramEnd"/>
      <w:r>
        <w:rPr>
          <w:i/>
        </w:rPr>
        <w:t xml:space="preserve"> Access to Surgery a Postcode Lottery? </w:t>
      </w:r>
      <w:r w:rsidRPr="003A7A2E">
        <w:t>(July 2014)</w:t>
      </w:r>
    </w:p>
  </w:footnote>
  <w:footnote w:id="3">
    <w:p w:rsidR="001B3CBB" w:rsidRDefault="001B3CBB">
      <w:pPr>
        <w:pStyle w:val="FootnoteText"/>
      </w:pPr>
      <w:r>
        <w:rPr>
          <w:rStyle w:val="FootnoteReference"/>
        </w:rPr>
        <w:footnoteRef/>
      </w:r>
      <w:r>
        <w:t xml:space="preserve"> </w:t>
      </w:r>
      <w:r w:rsidRPr="00DC5CA0">
        <w:t>http://www.commonwealthfund.org/publications/fund-reports/2014/jun/mirror-mirror</w:t>
      </w:r>
    </w:p>
  </w:footnote>
  <w:footnote w:id="4">
    <w:p w:rsidR="001B3CBB" w:rsidRDefault="001B3CBB">
      <w:pPr>
        <w:pStyle w:val="FootnoteText"/>
      </w:pPr>
      <w:r>
        <w:rPr>
          <w:rStyle w:val="FootnoteReference"/>
        </w:rPr>
        <w:footnoteRef/>
      </w:r>
      <w:r>
        <w:t xml:space="preserve"> </w:t>
      </w:r>
      <w:r w:rsidRPr="00B66436">
        <w:t>https://www.rcseng.ac.uk/policy/documents/RCS%20Emergency%20surgery%20policy%20briefing.pdf</w:t>
      </w:r>
    </w:p>
  </w:footnote>
  <w:footnote w:id="5">
    <w:p w:rsidR="001B3CBB" w:rsidRDefault="001B3CBB">
      <w:pPr>
        <w:pStyle w:val="FootnoteText"/>
      </w:pPr>
      <w:r>
        <w:rPr>
          <w:rStyle w:val="FootnoteReference"/>
        </w:rPr>
        <w:footnoteRef/>
      </w:r>
      <w:r>
        <w:t xml:space="preserve"> </w:t>
      </w:r>
      <w:r w:rsidRPr="00DC5CA0">
        <w:t>http://www.nuffieldtrust.org.uk/sites/files/nuffield/publication/into-the-red-report.pdf</w:t>
      </w:r>
    </w:p>
  </w:footnote>
  <w:footnote w:id="6">
    <w:p w:rsidR="001B3CBB" w:rsidRDefault="001B3CBB">
      <w:pPr>
        <w:pStyle w:val="FootnoteText"/>
      </w:pPr>
      <w:r>
        <w:rPr>
          <w:rStyle w:val="FootnoteReference"/>
        </w:rPr>
        <w:footnoteRef/>
      </w:r>
      <w:r>
        <w:t xml:space="preserve"> NHS England, 2013: </w:t>
      </w:r>
      <w:hyperlink r:id="rId2" w:history="1">
        <w:r w:rsidRPr="0041530E">
          <w:rPr>
            <w:rStyle w:val="Hyperlink"/>
          </w:rPr>
          <w:t>http://www.england.nhs.uk/wp-content/uploads/2013/12/bm-item6.pdf</w:t>
        </w:r>
      </w:hyperlink>
      <w:r>
        <w:t xml:space="preserve"> (see page 5)</w:t>
      </w:r>
    </w:p>
  </w:footnote>
  <w:footnote w:id="7">
    <w:p w:rsidR="001B3CBB" w:rsidRDefault="001B3CBB">
      <w:pPr>
        <w:pStyle w:val="FootnoteText"/>
      </w:pPr>
      <w:r>
        <w:rPr>
          <w:rStyle w:val="FootnoteReference"/>
        </w:rPr>
        <w:footnoteRef/>
      </w:r>
      <w:r>
        <w:t xml:space="preserve"> </w:t>
      </w:r>
      <w:r w:rsidRPr="00C40BBE">
        <w:t>http://www.kingsfund.org.uk/sites/files/kf/field/field_publication_file/quarterly-monitoring-report-april2014.pdf</w:t>
      </w:r>
    </w:p>
  </w:footnote>
  <w:footnote w:id="8">
    <w:p w:rsidR="001B3CBB" w:rsidRDefault="001B3CBB">
      <w:pPr>
        <w:pStyle w:val="FootnoteText"/>
      </w:pPr>
      <w:r>
        <w:rPr>
          <w:rStyle w:val="FootnoteReference"/>
        </w:rPr>
        <w:footnoteRef/>
      </w:r>
      <w:r>
        <w:t xml:space="preserve"> </w:t>
      </w:r>
      <w:r w:rsidRPr="000A728B">
        <w:t>http://www.york.ac.uk/media/che/documents/papers/researchpapers/CHERP97_Financial_mechanisms_integrating_funds_healtthcare_social_care_.pdf</w:t>
      </w:r>
    </w:p>
  </w:footnote>
  <w:footnote w:id="9">
    <w:p w:rsidR="001B3CBB" w:rsidRDefault="001B3CBB">
      <w:pPr>
        <w:pStyle w:val="FootnoteText"/>
      </w:pPr>
      <w:r>
        <w:rPr>
          <w:rStyle w:val="FootnoteReference"/>
        </w:rPr>
        <w:footnoteRef/>
      </w:r>
      <w:r>
        <w:t xml:space="preserve"> </w:t>
      </w:r>
      <w:hyperlink r:id="rId3" w:history="1">
        <w:r w:rsidRPr="006F7B50">
          <w:rPr>
            <w:rStyle w:val="Hyperlink"/>
          </w:rPr>
          <w:t>https://www.rcseng.ac.uk/policy/documents/RCSresponsetoNHSEnglandandMonitorconsultationonNHSTariff2015.pdf</w:t>
        </w:r>
      </w:hyperlink>
      <w:r>
        <w:t xml:space="preserve"> </w:t>
      </w:r>
    </w:p>
  </w:footnote>
  <w:footnote w:id="10">
    <w:p w:rsidR="001B3CBB" w:rsidRDefault="001B3CBB" w:rsidP="00C5297C">
      <w:pPr>
        <w:pStyle w:val="FootnoteText"/>
      </w:pPr>
      <w:r>
        <w:rPr>
          <w:rStyle w:val="FootnoteReference"/>
        </w:rPr>
        <w:footnoteRef/>
      </w:r>
      <w:r>
        <w:t xml:space="preserve"> </w:t>
      </w:r>
      <w:proofErr w:type="gramStart"/>
      <w:r>
        <w:t>House of Commons Health Committee.</w:t>
      </w:r>
      <w:proofErr w:type="gramEnd"/>
      <w:r>
        <w:t xml:space="preserve"> Public Expenditure: Thirteenth Report of Session 2010–12. </w:t>
      </w:r>
    </w:p>
    <w:p w:rsidR="001B3CBB" w:rsidRDefault="001B3CBB" w:rsidP="00C5297C">
      <w:pPr>
        <w:pStyle w:val="FootnoteText"/>
      </w:pPr>
      <w:r>
        <w:t>London: TSO; 2012.</w:t>
      </w:r>
    </w:p>
  </w:footnote>
  <w:footnote w:id="11">
    <w:p w:rsidR="001B3CBB" w:rsidRDefault="001B3CBB">
      <w:pPr>
        <w:pStyle w:val="FootnoteText"/>
      </w:pPr>
      <w:r>
        <w:rPr>
          <w:rStyle w:val="FootnoteReference"/>
        </w:rPr>
        <w:footnoteRef/>
      </w:r>
      <w:r>
        <w:t xml:space="preserve"> Royal College of Surgeons:</w:t>
      </w:r>
      <w:r w:rsidRPr="00C5297C">
        <w:t xml:space="preserve"> </w:t>
      </w:r>
      <w:hyperlink r:id="rId4" w:history="1">
        <w:r w:rsidRPr="009E7AD0">
          <w:rPr>
            <w:rStyle w:val="Hyperlink"/>
          </w:rPr>
          <w:t>http://www.rcseng.ac.uk/news/docs/Is%20access%20to%20surgery%20a%20postcode%20lottery.pdf</w:t>
        </w:r>
      </w:hyperlink>
      <w:r>
        <w:t xml:space="preserve">  </w:t>
      </w:r>
    </w:p>
  </w:footnote>
  <w:footnote w:id="12">
    <w:p w:rsidR="001B3CBB" w:rsidRDefault="001B3CBB">
      <w:pPr>
        <w:pStyle w:val="FootnoteText"/>
      </w:pPr>
      <w:r>
        <w:rPr>
          <w:rStyle w:val="FootnoteReference"/>
        </w:rPr>
        <w:footnoteRef/>
      </w:r>
      <w:r>
        <w:t xml:space="preserve"> Royal College of Surgeons: </w:t>
      </w:r>
      <w:hyperlink r:id="rId5" w:history="1">
        <w:r w:rsidRPr="00EC3DF6">
          <w:rPr>
            <w:rStyle w:val="Hyperlink"/>
          </w:rPr>
          <w:t>https://www.rcseng.ac.uk/healthcare-bodies/nscc/data-tools</w:t>
        </w:r>
      </w:hyperlink>
      <w:r>
        <w:t xml:space="preserve"> </w:t>
      </w:r>
    </w:p>
  </w:footnote>
  <w:footnote w:id="13">
    <w:p w:rsidR="001B3CBB" w:rsidRDefault="001B3CBB">
      <w:pPr>
        <w:pStyle w:val="FootnoteText"/>
      </w:pPr>
      <w:r>
        <w:rPr>
          <w:rStyle w:val="FootnoteReference"/>
        </w:rPr>
        <w:footnoteRef/>
      </w:r>
      <w:r>
        <w:t xml:space="preserve"> </w:t>
      </w:r>
      <w:hyperlink r:id="rId6" w:history="1">
        <w:r w:rsidRPr="0041530E">
          <w:rPr>
            <w:rStyle w:val="Hyperlink"/>
          </w:rPr>
          <w:t>http://www.rcseng.ac.uk/news/docs/coordinated-care-survey</w:t>
        </w:r>
      </w:hyperlink>
      <w:r>
        <w:t xml:space="preserve"> </w:t>
      </w:r>
    </w:p>
  </w:footnote>
  <w:footnote w:id="14">
    <w:p w:rsidR="001B3CBB" w:rsidRDefault="001B3CBB">
      <w:pPr>
        <w:pStyle w:val="FootnoteText"/>
      </w:pPr>
      <w:r>
        <w:rPr>
          <w:rStyle w:val="FootnoteReference"/>
        </w:rPr>
        <w:footnoteRef/>
      </w:r>
      <w:r>
        <w:t xml:space="preserve"> National Joint Registry Annual Report 2013</w:t>
      </w:r>
    </w:p>
  </w:footnote>
  <w:footnote w:id="15">
    <w:p w:rsidR="001B3CBB" w:rsidRDefault="001B3CBB">
      <w:pPr>
        <w:pStyle w:val="FootnoteText"/>
      </w:pPr>
      <w:r>
        <w:rPr>
          <w:rStyle w:val="FootnoteReference"/>
        </w:rPr>
        <w:footnoteRef/>
      </w:r>
      <w:r>
        <w:t xml:space="preserve"> NHS Confederation: </w:t>
      </w:r>
      <w:hyperlink r:id="rId7" w:history="1">
        <w:r w:rsidRPr="0041530E">
          <w:rPr>
            <w:rStyle w:val="Hyperlink"/>
          </w:rPr>
          <w:t>http://www.nhsconfed.org/~/media/Confederation/Files/Publications/Documents/A-positive-partnership_121011.pdf</w:t>
        </w:r>
      </w:hyperlink>
      <w:r>
        <w:t xml:space="preserve"> </w:t>
      </w:r>
    </w:p>
  </w:footnote>
  <w:footnote w:id="16">
    <w:p w:rsidR="001B3CBB" w:rsidRPr="008C167B" w:rsidRDefault="001B3CBB" w:rsidP="008C167B">
      <w:pPr>
        <w:autoSpaceDE w:val="0"/>
        <w:autoSpaceDN w:val="0"/>
        <w:rPr>
          <w:rFonts w:asciiTheme="minorHAnsi" w:hAnsiTheme="minorHAnsi"/>
          <w:iCs/>
          <w:sz w:val="20"/>
          <w:szCs w:val="20"/>
        </w:rPr>
      </w:pPr>
      <w:r>
        <w:rPr>
          <w:rStyle w:val="FootnoteReference"/>
        </w:rPr>
        <w:footnoteRef/>
      </w:r>
      <w:r>
        <w:t xml:space="preserve"> </w:t>
      </w:r>
      <w:r w:rsidRPr="008C167B">
        <w:rPr>
          <w:rFonts w:asciiTheme="minorHAnsi" w:hAnsiTheme="minorHAnsi"/>
          <w:iCs/>
          <w:sz w:val="20"/>
          <w:szCs w:val="20"/>
        </w:rPr>
        <w:t xml:space="preserve">What patients </w:t>
      </w:r>
      <w:proofErr w:type="gramStart"/>
      <w:r w:rsidRPr="008C167B">
        <w:rPr>
          <w:rFonts w:asciiTheme="minorHAnsi" w:hAnsiTheme="minorHAnsi"/>
          <w:iCs/>
          <w:sz w:val="20"/>
          <w:szCs w:val="20"/>
        </w:rPr>
        <w:t>think.</w:t>
      </w:r>
      <w:proofErr w:type="gramEnd"/>
      <w:r w:rsidRPr="008C167B">
        <w:rPr>
          <w:rFonts w:asciiTheme="minorHAnsi" w:hAnsiTheme="minorHAnsi"/>
          <w:iCs/>
          <w:sz w:val="20"/>
          <w:szCs w:val="20"/>
        </w:rPr>
        <w:t xml:space="preserve"> </w:t>
      </w:r>
      <w:proofErr w:type="gramStart"/>
      <w:r w:rsidRPr="008C167B">
        <w:rPr>
          <w:rFonts w:asciiTheme="minorHAnsi" w:hAnsiTheme="minorHAnsi"/>
          <w:iCs/>
          <w:sz w:val="20"/>
          <w:szCs w:val="20"/>
        </w:rPr>
        <w:t>An analysis of user ratings and comments on NHS Choices.</w:t>
      </w:r>
      <w:proofErr w:type="gramEnd"/>
      <w:r w:rsidRPr="008C167B">
        <w:rPr>
          <w:rFonts w:asciiTheme="minorHAnsi" w:hAnsiTheme="minorHAnsi"/>
          <w:iCs/>
          <w:sz w:val="20"/>
          <w:szCs w:val="20"/>
        </w:rPr>
        <w:t xml:space="preserve"> </w:t>
      </w:r>
      <w:r w:rsidRPr="008C167B">
        <w:rPr>
          <w:rFonts w:asciiTheme="minorHAnsi" w:hAnsiTheme="minorHAnsi"/>
          <w:sz w:val="20"/>
          <w:szCs w:val="20"/>
        </w:rPr>
        <w:t xml:space="preserve">NHS Choices (February 2011). </w:t>
      </w:r>
    </w:p>
    <w:p w:rsidR="001B3CBB" w:rsidRDefault="001B3CB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D83770"/>
    <w:multiLevelType w:val="hybridMultilevel"/>
    <w:tmpl w:val="2A50CC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F5B79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C4D614A"/>
    <w:multiLevelType w:val="multilevel"/>
    <w:tmpl w:val="B614ADE0"/>
    <w:lvl w:ilvl="0">
      <w:start w:val="1"/>
      <w:numFmt w:val="decimal"/>
      <w:lvlText w:val="%1."/>
      <w:lvlJc w:val="left"/>
      <w:pPr>
        <w:ind w:left="720" w:hanging="360"/>
      </w:pPr>
      <w:rPr>
        <w:b/>
      </w:rPr>
    </w:lvl>
    <w:lvl w:ilvl="1">
      <w:start w:val="1"/>
      <w:numFmt w:val="decimal"/>
      <w:lvlText w:val="%1.%2."/>
      <w:lvlJc w:val="left"/>
      <w:pPr>
        <w:ind w:left="1152" w:hanging="432"/>
      </w:pPr>
      <w:rPr>
        <w:b w:val="0"/>
      </w:rPr>
    </w:lvl>
    <w:lvl w:ilvl="2">
      <w:start w:val="1"/>
      <w:numFmt w:val="bullet"/>
      <w:lvlText w:val=""/>
      <w:lvlJc w:val="left"/>
      <w:pPr>
        <w:ind w:left="1584" w:hanging="504"/>
      </w:pPr>
      <w:rPr>
        <w:rFonts w:ascii="Symbol" w:hAnsi="Symbol" w:hint="default"/>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755062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12"/>
    <w:rsid w:val="000A2505"/>
    <w:rsid w:val="000A49D9"/>
    <w:rsid w:val="000A728B"/>
    <w:rsid w:val="000F367C"/>
    <w:rsid w:val="00115561"/>
    <w:rsid w:val="00122A3C"/>
    <w:rsid w:val="00124B03"/>
    <w:rsid w:val="00166697"/>
    <w:rsid w:val="00196EE8"/>
    <w:rsid w:val="001B3CBB"/>
    <w:rsid w:val="001D3B0C"/>
    <w:rsid w:val="00205E68"/>
    <w:rsid w:val="00221FB1"/>
    <w:rsid w:val="0028329A"/>
    <w:rsid w:val="00286625"/>
    <w:rsid w:val="0029296D"/>
    <w:rsid w:val="00293F1E"/>
    <w:rsid w:val="002E3FEA"/>
    <w:rsid w:val="00325C49"/>
    <w:rsid w:val="003275F8"/>
    <w:rsid w:val="00347007"/>
    <w:rsid w:val="00353823"/>
    <w:rsid w:val="003A7A2E"/>
    <w:rsid w:val="003E5B4B"/>
    <w:rsid w:val="00426FBC"/>
    <w:rsid w:val="00441357"/>
    <w:rsid w:val="0046147F"/>
    <w:rsid w:val="00487471"/>
    <w:rsid w:val="0049778F"/>
    <w:rsid w:val="004A3E7C"/>
    <w:rsid w:val="004E2D26"/>
    <w:rsid w:val="004E43AC"/>
    <w:rsid w:val="004E69A2"/>
    <w:rsid w:val="004F5293"/>
    <w:rsid w:val="00537D6D"/>
    <w:rsid w:val="00540C66"/>
    <w:rsid w:val="00543756"/>
    <w:rsid w:val="00553ABA"/>
    <w:rsid w:val="005B52ED"/>
    <w:rsid w:val="005C70FE"/>
    <w:rsid w:val="005D59B4"/>
    <w:rsid w:val="005E3B28"/>
    <w:rsid w:val="005E5053"/>
    <w:rsid w:val="00627A88"/>
    <w:rsid w:val="00646BB7"/>
    <w:rsid w:val="00654732"/>
    <w:rsid w:val="0066522A"/>
    <w:rsid w:val="00677AD6"/>
    <w:rsid w:val="00685D74"/>
    <w:rsid w:val="006947E5"/>
    <w:rsid w:val="006C50E8"/>
    <w:rsid w:val="006D552D"/>
    <w:rsid w:val="006D657E"/>
    <w:rsid w:val="00702EC9"/>
    <w:rsid w:val="00710E68"/>
    <w:rsid w:val="00720719"/>
    <w:rsid w:val="007461DE"/>
    <w:rsid w:val="007C1BFE"/>
    <w:rsid w:val="00807188"/>
    <w:rsid w:val="00811785"/>
    <w:rsid w:val="00812612"/>
    <w:rsid w:val="0082718F"/>
    <w:rsid w:val="008441BA"/>
    <w:rsid w:val="008C167B"/>
    <w:rsid w:val="008C7AFF"/>
    <w:rsid w:val="00917938"/>
    <w:rsid w:val="00955765"/>
    <w:rsid w:val="009733BF"/>
    <w:rsid w:val="009767D4"/>
    <w:rsid w:val="009838B1"/>
    <w:rsid w:val="00985242"/>
    <w:rsid w:val="009B79D7"/>
    <w:rsid w:val="00A13E70"/>
    <w:rsid w:val="00A34D94"/>
    <w:rsid w:val="00A449F0"/>
    <w:rsid w:val="00A669A3"/>
    <w:rsid w:val="00A9282F"/>
    <w:rsid w:val="00A929FD"/>
    <w:rsid w:val="00AB648C"/>
    <w:rsid w:val="00AC7725"/>
    <w:rsid w:val="00AE6038"/>
    <w:rsid w:val="00B42335"/>
    <w:rsid w:val="00B42C19"/>
    <w:rsid w:val="00B435FF"/>
    <w:rsid w:val="00B66436"/>
    <w:rsid w:val="00B7777A"/>
    <w:rsid w:val="00B915AB"/>
    <w:rsid w:val="00C1208D"/>
    <w:rsid w:val="00C40BBE"/>
    <w:rsid w:val="00C5297C"/>
    <w:rsid w:val="00C9520D"/>
    <w:rsid w:val="00CA7388"/>
    <w:rsid w:val="00CC56D8"/>
    <w:rsid w:val="00CF0CAE"/>
    <w:rsid w:val="00CF19B8"/>
    <w:rsid w:val="00D322CE"/>
    <w:rsid w:val="00D34201"/>
    <w:rsid w:val="00D7649D"/>
    <w:rsid w:val="00DC5CA0"/>
    <w:rsid w:val="00DF0801"/>
    <w:rsid w:val="00E67DC3"/>
    <w:rsid w:val="00E71109"/>
    <w:rsid w:val="00EA1FB1"/>
    <w:rsid w:val="00ED6030"/>
    <w:rsid w:val="00EE2080"/>
    <w:rsid w:val="00EE6EA1"/>
    <w:rsid w:val="00F61C5A"/>
    <w:rsid w:val="00F82075"/>
    <w:rsid w:val="00FB6D06"/>
    <w:rsid w:val="00FF4006"/>
    <w:rsid w:val="00FF4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612"/>
    <w:pPr>
      <w:spacing w:after="0" w:line="240" w:lineRule="auto"/>
    </w:pPr>
    <w:rPr>
      <w:rFonts w:ascii="Calibri" w:hAnsi="Calibri"/>
      <w:sz w:val="24"/>
      <w:szCs w:val="24"/>
    </w:rPr>
  </w:style>
  <w:style w:type="paragraph" w:styleId="ListParagraph">
    <w:name w:val="List Paragraph"/>
    <w:basedOn w:val="Normal"/>
    <w:uiPriority w:val="34"/>
    <w:qFormat/>
    <w:rsid w:val="00812612"/>
    <w:pPr>
      <w:ind w:left="720"/>
      <w:contextualSpacing/>
    </w:pPr>
  </w:style>
  <w:style w:type="paragraph" w:styleId="FootnoteText">
    <w:name w:val="footnote text"/>
    <w:basedOn w:val="Normal"/>
    <w:link w:val="FootnoteTextChar"/>
    <w:uiPriority w:val="99"/>
    <w:semiHidden/>
    <w:unhideWhenUsed/>
    <w:rsid w:val="00DC5CA0"/>
    <w:rPr>
      <w:sz w:val="20"/>
      <w:szCs w:val="20"/>
    </w:rPr>
  </w:style>
  <w:style w:type="character" w:customStyle="1" w:styleId="FootnoteTextChar">
    <w:name w:val="Footnote Text Char"/>
    <w:basedOn w:val="DefaultParagraphFont"/>
    <w:link w:val="FootnoteText"/>
    <w:uiPriority w:val="99"/>
    <w:semiHidden/>
    <w:rsid w:val="00DC5CA0"/>
    <w:rPr>
      <w:rFonts w:ascii="Calibri" w:hAnsi="Calibri" w:cs="Calibri"/>
      <w:sz w:val="20"/>
      <w:szCs w:val="20"/>
    </w:rPr>
  </w:style>
  <w:style w:type="character" w:styleId="FootnoteReference">
    <w:name w:val="footnote reference"/>
    <w:basedOn w:val="DefaultParagraphFont"/>
    <w:uiPriority w:val="99"/>
    <w:semiHidden/>
    <w:unhideWhenUsed/>
    <w:rsid w:val="00DC5CA0"/>
    <w:rPr>
      <w:vertAlign w:val="superscript"/>
    </w:rPr>
  </w:style>
  <w:style w:type="paragraph" w:styleId="EndnoteText">
    <w:name w:val="endnote text"/>
    <w:basedOn w:val="Normal"/>
    <w:link w:val="EndnoteTextChar"/>
    <w:uiPriority w:val="99"/>
    <w:semiHidden/>
    <w:unhideWhenUsed/>
    <w:rsid w:val="00DC5CA0"/>
    <w:rPr>
      <w:sz w:val="20"/>
      <w:szCs w:val="20"/>
    </w:rPr>
  </w:style>
  <w:style w:type="character" w:customStyle="1" w:styleId="EndnoteTextChar">
    <w:name w:val="Endnote Text Char"/>
    <w:basedOn w:val="DefaultParagraphFont"/>
    <w:link w:val="EndnoteText"/>
    <w:uiPriority w:val="99"/>
    <w:semiHidden/>
    <w:rsid w:val="00DC5CA0"/>
    <w:rPr>
      <w:rFonts w:ascii="Calibri" w:hAnsi="Calibri" w:cs="Calibri"/>
      <w:sz w:val="20"/>
      <w:szCs w:val="20"/>
    </w:rPr>
  </w:style>
  <w:style w:type="character" w:styleId="EndnoteReference">
    <w:name w:val="endnote reference"/>
    <w:basedOn w:val="DefaultParagraphFont"/>
    <w:uiPriority w:val="99"/>
    <w:semiHidden/>
    <w:unhideWhenUsed/>
    <w:rsid w:val="00DC5CA0"/>
    <w:rPr>
      <w:vertAlign w:val="superscript"/>
    </w:rPr>
  </w:style>
  <w:style w:type="character" w:styleId="Hyperlink">
    <w:name w:val="Hyperlink"/>
    <w:basedOn w:val="DefaultParagraphFont"/>
    <w:uiPriority w:val="99"/>
    <w:unhideWhenUsed/>
    <w:rsid w:val="00A9282F"/>
    <w:rPr>
      <w:color w:val="0000FF" w:themeColor="hyperlink"/>
      <w:u w:val="single"/>
    </w:rPr>
  </w:style>
  <w:style w:type="paragraph" w:styleId="BalloonText">
    <w:name w:val="Balloon Text"/>
    <w:basedOn w:val="Normal"/>
    <w:link w:val="BalloonTextChar"/>
    <w:uiPriority w:val="99"/>
    <w:semiHidden/>
    <w:unhideWhenUsed/>
    <w:rsid w:val="0046147F"/>
    <w:rPr>
      <w:rFonts w:ascii="Tahoma" w:hAnsi="Tahoma" w:cs="Tahoma"/>
      <w:sz w:val="16"/>
      <w:szCs w:val="16"/>
    </w:rPr>
  </w:style>
  <w:style w:type="character" w:customStyle="1" w:styleId="BalloonTextChar">
    <w:name w:val="Balloon Text Char"/>
    <w:basedOn w:val="DefaultParagraphFont"/>
    <w:link w:val="BalloonText"/>
    <w:uiPriority w:val="99"/>
    <w:semiHidden/>
    <w:rsid w:val="0046147F"/>
    <w:rPr>
      <w:rFonts w:ascii="Tahoma" w:hAnsi="Tahoma" w:cs="Tahoma"/>
      <w:sz w:val="16"/>
      <w:szCs w:val="16"/>
    </w:rPr>
  </w:style>
  <w:style w:type="character" w:styleId="CommentReference">
    <w:name w:val="annotation reference"/>
    <w:basedOn w:val="DefaultParagraphFont"/>
    <w:uiPriority w:val="99"/>
    <w:semiHidden/>
    <w:unhideWhenUsed/>
    <w:rsid w:val="00A669A3"/>
    <w:rPr>
      <w:sz w:val="16"/>
      <w:szCs w:val="16"/>
    </w:rPr>
  </w:style>
  <w:style w:type="paragraph" w:styleId="CommentText">
    <w:name w:val="annotation text"/>
    <w:basedOn w:val="Normal"/>
    <w:link w:val="CommentTextChar"/>
    <w:uiPriority w:val="99"/>
    <w:semiHidden/>
    <w:unhideWhenUsed/>
    <w:rsid w:val="00A669A3"/>
    <w:rPr>
      <w:sz w:val="20"/>
      <w:szCs w:val="20"/>
    </w:rPr>
  </w:style>
  <w:style w:type="character" w:customStyle="1" w:styleId="CommentTextChar">
    <w:name w:val="Comment Text Char"/>
    <w:basedOn w:val="DefaultParagraphFont"/>
    <w:link w:val="CommentText"/>
    <w:uiPriority w:val="99"/>
    <w:semiHidden/>
    <w:rsid w:val="00A669A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69A3"/>
    <w:rPr>
      <w:b/>
      <w:bCs/>
    </w:rPr>
  </w:style>
  <w:style w:type="character" w:customStyle="1" w:styleId="CommentSubjectChar">
    <w:name w:val="Comment Subject Char"/>
    <w:basedOn w:val="CommentTextChar"/>
    <w:link w:val="CommentSubject"/>
    <w:uiPriority w:val="99"/>
    <w:semiHidden/>
    <w:rsid w:val="00A669A3"/>
    <w:rPr>
      <w:rFonts w:ascii="Calibri" w:hAnsi="Calibri" w:cs="Calibri"/>
      <w:b/>
      <w:bCs/>
      <w:sz w:val="20"/>
      <w:szCs w:val="20"/>
    </w:rPr>
  </w:style>
  <w:style w:type="paragraph" w:styleId="Revision">
    <w:name w:val="Revision"/>
    <w:hidden/>
    <w:uiPriority w:val="99"/>
    <w:semiHidden/>
    <w:rsid w:val="00720719"/>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124B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612"/>
    <w:pPr>
      <w:spacing w:after="0" w:line="240" w:lineRule="auto"/>
    </w:pPr>
    <w:rPr>
      <w:rFonts w:ascii="Calibri" w:hAnsi="Calibri"/>
      <w:sz w:val="24"/>
      <w:szCs w:val="24"/>
    </w:rPr>
  </w:style>
  <w:style w:type="paragraph" w:styleId="ListParagraph">
    <w:name w:val="List Paragraph"/>
    <w:basedOn w:val="Normal"/>
    <w:uiPriority w:val="34"/>
    <w:qFormat/>
    <w:rsid w:val="00812612"/>
    <w:pPr>
      <w:ind w:left="720"/>
      <w:contextualSpacing/>
    </w:pPr>
  </w:style>
  <w:style w:type="paragraph" w:styleId="FootnoteText">
    <w:name w:val="footnote text"/>
    <w:basedOn w:val="Normal"/>
    <w:link w:val="FootnoteTextChar"/>
    <w:uiPriority w:val="99"/>
    <w:semiHidden/>
    <w:unhideWhenUsed/>
    <w:rsid w:val="00DC5CA0"/>
    <w:rPr>
      <w:sz w:val="20"/>
      <w:szCs w:val="20"/>
    </w:rPr>
  </w:style>
  <w:style w:type="character" w:customStyle="1" w:styleId="FootnoteTextChar">
    <w:name w:val="Footnote Text Char"/>
    <w:basedOn w:val="DefaultParagraphFont"/>
    <w:link w:val="FootnoteText"/>
    <w:uiPriority w:val="99"/>
    <w:semiHidden/>
    <w:rsid w:val="00DC5CA0"/>
    <w:rPr>
      <w:rFonts w:ascii="Calibri" w:hAnsi="Calibri" w:cs="Calibri"/>
      <w:sz w:val="20"/>
      <w:szCs w:val="20"/>
    </w:rPr>
  </w:style>
  <w:style w:type="character" w:styleId="FootnoteReference">
    <w:name w:val="footnote reference"/>
    <w:basedOn w:val="DefaultParagraphFont"/>
    <w:uiPriority w:val="99"/>
    <w:semiHidden/>
    <w:unhideWhenUsed/>
    <w:rsid w:val="00DC5CA0"/>
    <w:rPr>
      <w:vertAlign w:val="superscript"/>
    </w:rPr>
  </w:style>
  <w:style w:type="paragraph" w:styleId="EndnoteText">
    <w:name w:val="endnote text"/>
    <w:basedOn w:val="Normal"/>
    <w:link w:val="EndnoteTextChar"/>
    <w:uiPriority w:val="99"/>
    <w:semiHidden/>
    <w:unhideWhenUsed/>
    <w:rsid w:val="00DC5CA0"/>
    <w:rPr>
      <w:sz w:val="20"/>
      <w:szCs w:val="20"/>
    </w:rPr>
  </w:style>
  <w:style w:type="character" w:customStyle="1" w:styleId="EndnoteTextChar">
    <w:name w:val="Endnote Text Char"/>
    <w:basedOn w:val="DefaultParagraphFont"/>
    <w:link w:val="EndnoteText"/>
    <w:uiPriority w:val="99"/>
    <w:semiHidden/>
    <w:rsid w:val="00DC5CA0"/>
    <w:rPr>
      <w:rFonts w:ascii="Calibri" w:hAnsi="Calibri" w:cs="Calibri"/>
      <w:sz w:val="20"/>
      <w:szCs w:val="20"/>
    </w:rPr>
  </w:style>
  <w:style w:type="character" w:styleId="EndnoteReference">
    <w:name w:val="endnote reference"/>
    <w:basedOn w:val="DefaultParagraphFont"/>
    <w:uiPriority w:val="99"/>
    <w:semiHidden/>
    <w:unhideWhenUsed/>
    <w:rsid w:val="00DC5CA0"/>
    <w:rPr>
      <w:vertAlign w:val="superscript"/>
    </w:rPr>
  </w:style>
  <w:style w:type="character" w:styleId="Hyperlink">
    <w:name w:val="Hyperlink"/>
    <w:basedOn w:val="DefaultParagraphFont"/>
    <w:uiPriority w:val="99"/>
    <w:unhideWhenUsed/>
    <w:rsid w:val="00A9282F"/>
    <w:rPr>
      <w:color w:val="0000FF" w:themeColor="hyperlink"/>
      <w:u w:val="single"/>
    </w:rPr>
  </w:style>
  <w:style w:type="paragraph" w:styleId="BalloonText">
    <w:name w:val="Balloon Text"/>
    <w:basedOn w:val="Normal"/>
    <w:link w:val="BalloonTextChar"/>
    <w:uiPriority w:val="99"/>
    <w:semiHidden/>
    <w:unhideWhenUsed/>
    <w:rsid w:val="0046147F"/>
    <w:rPr>
      <w:rFonts w:ascii="Tahoma" w:hAnsi="Tahoma" w:cs="Tahoma"/>
      <w:sz w:val="16"/>
      <w:szCs w:val="16"/>
    </w:rPr>
  </w:style>
  <w:style w:type="character" w:customStyle="1" w:styleId="BalloonTextChar">
    <w:name w:val="Balloon Text Char"/>
    <w:basedOn w:val="DefaultParagraphFont"/>
    <w:link w:val="BalloonText"/>
    <w:uiPriority w:val="99"/>
    <w:semiHidden/>
    <w:rsid w:val="0046147F"/>
    <w:rPr>
      <w:rFonts w:ascii="Tahoma" w:hAnsi="Tahoma" w:cs="Tahoma"/>
      <w:sz w:val="16"/>
      <w:szCs w:val="16"/>
    </w:rPr>
  </w:style>
  <w:style w:type="character" w:styleId="CommentReference">
    <w:name w:val="annotation reference"/>
    <w:basedOn w:val="DefaultParagraphFont"/>
    <w:uiPriority w:val="99"/>
    <w:semiHidden/>
    <w:unhideWhenUsed/>
    <w:rsid w:val="00A669A3"/>
    <w:rPr>
      <w:sz w:val="16"/>
      <w:szCs w:val="16"/>
    </w:rPr>
  </w:style>
  <w:style w:type="paragraph" w:styleId="CommentText">
    <w:name w:val="annotation text"/>
    <w:basedOn w:val="Normal"/>
    <w:link w:val="CommentTextChar"/>
    <w:uiPriority w:val="99"/>
    <w:semiHidden/>
    <w:unhideWhenUsed/>
    <w:rsid w:val="00A669A3"/>
    <w:rPr>
      <w:sz w:val="20"/>
      <w:szCs w:val="20"/>
    </w:rPr>
  </w:style>
  <w:style w:type="character" w:customStyle="1" w:styleId="CommentTextChar">
    <w:name w:val="Comment Text Char"/>
    <w:basedOn w:val="DefaultParagraphFont"/>
    <w:link w:val="CommentText"/>
    <w:uiPriority w:val="99"/>
    <w:semiHidden/>
    <w:rsid w:val="00A669A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69A3"/>
    <w:rPr>
      <w:b/>
      <w:bCs/>
    </w:rPr>
  </w:style>
  <w:style w:type="character" w:customStyle="1" w:styleId="CommentSubjectChar">
    <w:name w:val="Comment Subject Char"/>
    <w:basedOn w:val="CommentTextChar"/>
    <w:link w:val="CommentSubject"/>
    <w:uiPriority w:val="99"/>
    <w:semiHidden/>
    <w:rsid w:val="00A669A3"/>
    <w:rPr>
      <w:rFonts w:ascii="Calibri" w:hAnsi="Calibri" w:cs="Calibri"/>
      <w:b/>
      <w:bCs/>
      <w:sz w:val="20"/>
      <w:szCs w:val="20"/>
    </w:rPr>
  </w:style>
  <w:style w:type="paragraph" w:styleId="Revision">
    <w:name w:val="Revision"/>
    <w:hidden/>
    <w:uiPriority w:val="99"/>
    <w:semiHidden/>
    <w:rsid w:val="00720719"/>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124B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51874">
      <w:bodyDiv w:val="1"/>
      <w:marLeft w:val="0"/>
      <w:marRight w:val="0"/>
      <w:marTop w:val="0"/>
      <w:marBottom w:val="0"/>
      <w:divBdr>
        <w:top w:val="none" w:sz="0" w:space="0" w:color="auto"/>
        <w:left w:val="none" w:sz="0" w:space="0" w:color="auto"/>
        <w:bottom w:val="none" w:sz="0" w:space="0" w:color="auto"/>
        <w:right w:val="none" w:sz="0" w:space="0" w:color="auto"/>
      </w:divBdr>
    </w:div>
    <w:div w:id="12291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cseng.ac.uk/policy/documents/RCSresponsetoNHSEnglandandMonitorconsultationonNHSTariff2015.pdf" TargetMode="External"/><Relationship Id="rId7" Type="http://schemas.openxmlformats.org/officeDocument/2006/relationships/hyperlink" Target="http://www.nhsconfed.org/~/media/Confederation/Files/Publications/Documents/A-positive-partnership_121011.pdf" TargetMode="External"/><Relationship Id="rId2" Type="http://schemas.openxmlformats.org/officeDocument/2006/relationships/hyperlink" Target="http://www.england.nhs.uk/wp-content/uploads/2013/12/bm-item6.pdf" TargetMode="External"/><Relationship Id="rId1" Type="http://schemas.openxmlformats.org/officeDocument/2006/relationships/hyperlink" Target="http://www.conservativehome.com/platform/2014/08/jeremy-hunt-mp-no-one-should-have-to-wait-more-than-a-year-for-an-operation.html" TargetMode="External"/><Relationship Id="rId6" Type="http://schemas.openxmlformats.org/officeDocument/2006/relationships/hyperlink" Target="http://www.rcseng.ac.uk/news/docs/coordinated-care-survey" TargetMode="External"/><Relationship Id="rId5" Type="http://schemas.openxmlformats.org/officeDocument/2006/relationships/hyperlink" Target="https://www.rcseng.ac.uk/healthcare-bodies/nscc/data-tools" TargetMode="External"/><Relationship Id="rId4" Type="http://schemas.openxmlformats.org/officeDocument/2006/relationships/hyperlink" Target="http://www.rcseng.ac.uk/news/docs/Is%20access%20to%20surgery%20a%20postcode%20lotte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E6D01-EEC9-4446-9103-0CC164EB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Lowry, Chris</dc:creator>
  <cp:lastModifiedBy>Lowry, Chris</cp:lastModifiedBy>
  <cp:revision>2</cp:revision>
  <dcterms:created xsi:type="dcterms:W3CDTF">2014-10-23T13:22:00Z</dcterms:created>
  <dcterms:modified xsi:type="dcterms:W3CDTF">2014-10-23T13:22:00Z</dcterms:modified>
</cp:coreProperties>
</file>