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288BDD" w14:textId="77777777" w:rsidR="00197E40" w:rsidRPr="00355E0A" w:rsidRDefault="00197E40" w:rsidP="00FD7703">
      <w:pPr>
        <w:jc w:val="center"/>
        <w:rPr>
          <w:rFonts w:cs="Arial"/>
          <w:b/>
          <w:sz w:val="21"/>
          <w:szCs w:val="21"/>
          <w:u w:val="single"/>
        </w:rPr>
      </w:pPr>
    </w:p>
    <w:p w14:paraId="0058EC18" w14:textId="77777777" w:rsidR="00D050FE" w:rsidRPr="00355E0A" w:rsidRDefault="00D050FE" w:rsidP="00FD7703">
      <w:pPr>
        <w:jc w:val="center"/>
        <w:rPr>
          <w:rFonts w:cs="Arial"/>
          <w:b/>
          <w:sz w:val="21"/>
          <w:szCs w:val="21"/>
          <w:u w:val="single"/>
        </w:rPr>
      </w:pPr>
    </w:p>
    <w:p w14:paraId="578A6690" w14:textId="77DF0B37" w:rsidR="008607BF" w:rsidRPr="00355E0A" w:rsidRDefault="00A92957" w:rsidP="00FD7703">
      <w:pPr>
        <w:jc w:val="center"/>
        <w:rPr>
          <w:rFonts w:cs="Arial"/>
          <w:b/>
          <w:sz w:val="21"/>
          <w:szCs w:val="21"/>
          <w:u w:val="single"/>
        </w:rPr>
      </w:pPr>
      <w:r>
        <w:rPr>
          <w:rFonts w:cs="Arial"/>
          <w:b/>
          <w:sz w:val="21"/>
          <w:szCs w:val="21"/>
          <w:u w:val="single"/>
        </w:rPr>
        <w:t>C</w:t>
      </w:r>
      <w:r w:rsidR="00E22D40" w:rsidRPr="00355E0A">
        <w:rPr>
          <w:rFonts w:cs="Arial"/>
          <w:b/>
          <w:sz w:val="21"/>
          <w:szCs w:val="21"/>
          <w:u w:val="single"/>
        </w:rPr>
        <w:t>hange to LDS Examination Structure</w:t>
      </w:r>
      <w:r>
        <w:rPr>
          <w:rFonts w:cs="Arial"/>
          <w:b/>
          <w:sz w:val="21"/>
          <w:szCs w:val="21"/>
          <w:u w:val="single"/>
        </w:rPr>
        <w:t xml:space="preserve"> effective June 2022</w:t>
      </w:r>
    </w:p>
    <w:p w14:paraId="738D94E0" w14:textId="77777777" w:rsidR="00FD7703" w:rsidRPr="00355E0A" w:rsidRDefault="00FD7703" w:rsidP="00FD7703">
      <w:pPr>
        <w:rPr>
          <w:rFonts w:cs="Arial"/>
          <w:sz w:val="21"/>
          <w:szCs w:val="21"/>
        </w:rPr>
      </w:pPr>
    </w:p>
    <w:p w14:paraId="19954B2A" w14:textId="42BE3517" w:rsidR="00FD7703" w:rsidRDefault="00FD7703" w:rsidP="00FD7703">
      <w:pPr>
        <w:rPr>
          <w:rFonts w:cs="Arial"/>
          <w:b/>
          <w:sz w:val="21"/>
          <w:szCs w:val="21"/>
        </w:rPr>
      </w:pPr>
      <w:r w:rsidRPr="00355E0A">
        <w:rPr>
          <w:rFonts w:cs="Arial"/>
          <w:b/>
          <w:sz w:val="21"/>
          <w:szCs w:val="21"/>
        </w:rPr>
        <w:t>Background</w:t>
      </w:r>
    </w:p>
    <w:p w14:paraId="5026014A" w14:textId="7C800E16" w:rsidR="000A73A2" w:rsidRPr="00355E0A" w:rsidRDefault="00E22D40" w:rsidP="00FD7703">
      <w:pPr>
        <w:rPr>
          <w:rFonts w:cs="Arial"/>
          <w:sz w:val="21"/>
          <w:szCs w:val="21"/>
        </w:rPr>
      </w:pPr>
      <w:r w:rsidRPr="00355E0A">
        <w:rPr>
          <w:rFonts w:cs="Arial"/>
          <w:sz w:val="21"/>
          <w:szCs w:val="21"/>
        </w:rPr>
        <w:t xml:space="preserve">The structure of the LDS is changing. </w:t>
      </w:r>
      <w:r w:rsidR="004B4242" w:rsidRPr="00355E0A">
        <w:rPr>
          <w:rFonts w:cs="Arial"/>
          <w:sz w:val="21"/>
          <w:szCs w:val="21"/>
        </w:rPr>
        <w:t>Up until the last examination run in January 2020, t</w:t>
      </w:r>
      <w:r w:rsidR="00F463F0" w:rsidRPr="00355E0A">
        <w:rPr>
          <w:rFonts w:cs="Arial"/>
          <w:sz w:val="21"/>
          <w:szCs w:val="21"/>
        </w:rPr>
        <w:t>he</w:t>
      </w:r>
      <w:r w:rsidRPr="00355E0A">
        <w:rPr>
          <w:rFonts w:cs="Arial"/>
          <w:sz w:val="21"/>
          <w:szCs w:val="21"/>
        </w:rPr>
        <w:t xml:space="preserve"> examination had two parts: a Part 1 comprising two </w:t>
      </w:r>
      <w:r w:rsidR="00521E7C">
        <w:rPr>
          <w:rFonts w:cs="Arial"/>
          <w:sz w:val="21"/>
          <w:szCs w:val="21"/>
        </w:rPr>
        <w:t xml:space="preserve">multiple-choice (single best answer and extended matching) question </w:t>
      </w:r>
      <w:r w:rsidRPr="00355E0A">
        <w:rPr>
          <w:rFonts w:cs="Arial"/>
          <w:sz w:val="21"/>
          <w:szCs w:val="21"/>
        </w:rPr>
        <w:t>papers and a</w:t>
      </w:r>
      <w:r w:rsidR="00F463F0" w:rsidRPr="00355E0A">
        <w:rPr>
          <w:rFonts w:cs="Arial"/>
          <w:sz w:val="21"/>
          <w:szCs w:val="21"/>
        </w:rPr>
        <w:t xml:space="preserve"> Part 2 examination</w:t>
      </w:r>
      <w:r w:rsidR="004B4242" w:rsidRPr="00355E0A">
        <w:rPr>
          <w:rFonts w:cs="Arial"/>
          <w:sz w:val="21"/>
          <w:szCs w:val="21"/>
        </w:rPr>
        <w:t xml:space="preserve"> </w:t>
      </w:r>
      <w:r w:rsidR="001E47EB">
        <w:rPr>
          <w:rFonts w:cs="Arial"/>
          <w:sz w:val="21"/>
          <w:szCs w:val="21"/>
        </w:rPr>
        <w:t>+\</w:t>
      </w:r>
      <w:r w:rsidR="00F845EF">
        <w:rPr>
          <w:rFonts w:cs="Arial"/>
          <w:sz w:val="21"/>
          <w:szCs w:val="21"/>
        </w:rPr>
        <w:t>:</w:t>
      </w:r>
      <w:r w:rsidR="0098636D" w:rsidRPr="00355E0A">
        <w:rPr>
          <w:rFonts w:cs="Arial"/>
          <w:sz w:val="21"/>
          <w:szCs w:val="21"/>
        </w:rPr>
        <w:t xml:space="preserve"> </w:t>
      </w:r>
      <w:r w:rsidRPr="00355E0A">
        <w:rPr>
          <w:rFonts w:cs="Arial"/>
          <w:sz w:val="21"/>
          <w:szCs w:val="21"/>
        </w:rPr>
        <w:t>a</w:t>
      </w:r>
      <w:r w:rsidR="0098636D" w:rsidRPr="00355E0A">
        <w:rPr>
          <w:rFonts w:cs="Arial"/>
          <w:sz w:val="21"/>
          <w:szCs w:val="21"/>
        </w:rPr>
        <w:t xml:space="preserve"> Dental Manikin (DM); </w:t>
      </w:r>
      <w:r w:rsidR="00521E7C">
        <w:rPr>
          <w:rFonts w:cs="Arial"/>
          <w:sz w:val="21"/>
          <w:szCs w:val="21"/>
        </w:rPr>
        <w:t>Objective Structured Clinical Examination (</w:t>
      </w:r>
      <w:r w:rsidR="0098636D" w:rsidRPr="00355E0A">
        <w:rPr>
          <w:rFonts w:cs="Arial"/>
          <w:sz w:val="21"/>
          <w:szCs w:val="21"/>
        </w:rPr>
        <w:t>OSCE</w:t>
      </w:r>
      <w:r w:rsidR="00521E7C">
        <w:rPr>
          <w:rFonts w:cs="Arial"/>
          <w:sz w:val="21"/>
          <w:szCs w:val="21"/>
        </w:rPr>
        <w:t>)</w:t>
      </w:r>
      <w:r w:rsidR="0098636D" w:rsidRPr="00355E0A">
        <w:rPr>
          <w:rFonts w:cs="Arial"/>
          <w:sz w:val="21"/>
          <w:szCs w:val="21"/>
        </w:rPr>
        <w:t>; and Unseen Cases (USC)</w:t>
      </w:r>
      <w:r w:rsidR="00521E7C">
        <w:rPr>
          <w:rFonts w:cs="Arial"/>
          <w:sz w:val="21"/>
          <w:szCs w:val="21"/>
        </w:rPr>
        <w:t xml:space="preserve"> assessment</w:t>
      </w:r>
      <w:r w:rsidR="0098636D" w:rsidRPr="00355E0A">
        <w:rPr>
          <w:rFonts w:cs="Arial"/>
          <w:sz w:val="21"/>
          <w:szCs w:val="21"/>
        </w:rPr>
        <w:t xml:space="preserve">. Candidates </w:t>
      </w:r>
      <w:r w:rsidR="004B4242" w:rsidRPr="00355E0A">
        <w:rPr>
          <w:rFonts w:cs="Arial"/>
          <w:sz w:val="21"/>
          <w:szCs w:val="21"/>
        </w:rPr>
        <w:t>were</w:t>
      </w:r>
      <w:r w:rsidR="0098636D" w:rsidRPr="00355E0A">
        <w:rPr>
          <w:rFonts w:cs="Arial"/>
          <w:sz w:val="21"/>
          <w:szCs w:val="21"/>
        </w:rPr>
        <w:t xml:space="preserve"> required to pass all three components in the same diet in order to attain a pass</w:t>
      </w:r>
      <w:r w:rsidR="00F845EF">
        <w:rPr>
          <w:rFonts w:cs="Arial"/>
          <w:sz w:val="21"/>
          <w:szCs w:val="21"/>
        </w:rPr>
        <w:t xml:space="preserve"> </w:t>
      </w:r>
      <w:r w:rsidR="00053C46" w:rsidRPr="00A92957">
        <w:rPr>
          <w:rFonts w:cs="Arial"/>
          <w:sz w:val="21"/>
          <w:szCs w:val="21"/>
        </w:rPr>
        <w:t xml:space="preserve">in </w:t>
      </w:r>
      <w:r w:rsidR="00F845EF">
        <w:rPr>
          <w:rFonts w:cs="Arial"/>
          <w:sz w:val="21"/>
          <w:szCs w:val="21"/>
        </w:rPr>
        <w:t>the Part 2</w:t>
      </w:r>
      <w:r w:rsidR="0098636D" w:rsidRPr="00355E0A">
        <w:rPr>
          <w:rFonts w:cs="Arial"/>
          <w:sz w:val="21"/>
          <w:szCs w:val="21"/>
        </w:rPr>
        <w:t xml:space="preserve">. </w:t>
      </w:r>
      <w:r w:rsidR="004B4242" w:rsidRPr="00355E0A">
        <w:rPr>
          <w:rFonts w:cs="Arial"/>
          <w:sz w:val="21"/>
          <w:szCs w:val="21"/>
        </w:rPr>
        <w:t>This meant that</w:t>
      </w:r>
      <w:r w:rsidR="00E96740" w:rsidRPr="00355E0A">
        <w:rPr>
          <w:rFonts w:cs="Arial"/>
          <w:sz w:val="21"/>
          <w:szCs w:val="21"/>
        </w:rPr>
        <w:t xml:space="preserve"> candidates </w:t>
      </w:r>
      <w:r w:rsidR="004B4242" w:rsidRPr="00355E0A">
        <w:rPr>
          <w:rFonts w:cs="Arial"/>
          <w:sz w:val="21"/>
          <w:szCs w:val="21"/>
        </w:rPr>
        <w:t>often had to</w:t>
      </w:r>
      <w:r w:rsidR="00E96740" w:rsidRPr="00355E0A">
        <w:rPr>
          <w:rFonts w:cs="Arial"/>
          <w:sz w:val="21"/>
          <w:szCs w:val="21"/>
        </w:rPr>
        <w:t xml:space="preserve"> </w:t>
      </w:r>
      <w:proofErr w:type="spellStart"/>
      <w:r w:rsidR="00E96740" w:rsidRPr="00355E0A">
        <w:rPr>
          <w:rFonts w:cs="Arial"/>
          <w:sz w:val="21"/>
          <w:szCs w:val="21"/>
        </w:rPr>
        <w:t>resit</w:t>
      </w:r>
      <w:proofErr w:type="spellEnd"/>
      <w:r w:rsidR="00E96740" w:rsidRPr="00355E0A">
        <w:rPr>
          <w:rFonts w:cs="Arial"/>
          <w:sz w:val="21"/>
          <w:szCs w:val="21"/>
        </w:rPr>
        <w:t xml:space="preserve"> components that they have already passed</w:t>
      </w:r>
      <w:r w:rsidR="0098636D" w:rsidRPr="00355E0A">
        <w:rPr>
          <w:rFonts w:cs="Arial"/>
          <w:sz w:val="21"/>
          <w:szCs w:val="21"/>
        </w:rPr>
        <w:t xml:space="preserve"> in previous unsuccessful attempts at the </w:t>
      </w:r>
      <w:r w:rsidR="000A73A2" w:rsidRPr="00355E0A">
        <w:rPr>
          <w:rFonts w:cs="Arial"/>
          <w:sz w:val="21"/>
          <w:szCs w:val="21"/>
        </w:rPr>
        <w:t>examination</w:t>
      </w:r>
      <w:r w:rsidR="00E96740" w:rsidRPr="00355E0A">
        <w:rPr>
          <w:rFonts w:cs="Arial"/>
          <w:sz w:val="21"/>
          <w:szCs w:val="21"/>
        </w:rPr>
        <w:t>.</w:t>
      </w:r>
      <w:r w:rsidR="00490F6A" w:rsidRPr="00355E0A">
        <w:rPr>
          <w:rFonts w:cs="Arial"/>
          <w:sz w:val="21"/>
          <w:szCs w:val="21"/>
        </w:rPr>
        <w:t xml:space="preserve"> </w:t>
      </w:r>
    </w:p>
    <w:p w14:paraId="5277F471" w14:textId="77777777" w:rsidR="00861581" w:rsidRPr="00355E0A" w:rsidRDefault="00861581" w:rsidP="00FD7703">
      <w:pPr>
        <w:rPr>
          <w:rFonts w:cs="Arial"/>
          <w:sz w:val="21"/>
          <w:szCs w:val="21"/>
        </w:rPr>
      </w:pPr>
    </w:p>
    <w:p w14:paraId="2F7FFB4F" w14:textId="4F316620" w:rsidR="00964ED2" w:rsidRPr="00355E0A" w:rsidRDefault="005026E4" w:rsidP="00964ED2">
      <w:pPr>
        <w:rPr>
          <w:rFonts w:cs="Arial"/>
          <w:b/>
          <w:sz w:val="21"/>
          <w:szCs w:val="21"/>
        </w:rPr>
      </w:pPr>
      <w:r w:rsidRPr="00355E0A">
        <w:rPr>
          <w:rFonts w:cs="Arial"/>
          <w:b/>
          <w:sz w:val="21"/>
          <w:szCs w:val="21"/>
        </w:rPr>
        <w:t xml:space="preserve">Uncoupling of the </w:t>
      </w:r>
      <w:r w:rsidR="0087276E" w:rsidRPr="00355E0A">
        <w:rPr>
          <w:rFonts w:cs="Arial"/>
          <w:b/>
          <w:sz w:val="21"/>
          <w:szCs w:val="21"/>
        </w:rPr>
        <w:t>Part 2</w:t>
      </w:r>
    </w:p>
    <w:p w14:paraId="5BD8C83C" w14:textId="3A248152" w:rsidR="00197E40" w:rsidRPr="00355E0A" w:rsidRDefault="00964ED2" w:rsidP="00964ED2">
      <w:pPr>
        <w:rPr>
          <w:rFonts w:cs="Arial"/>
          <w:sz w:val="21"/>
          <w:szCs w:val="21"/>
        </w:rPr>
      </w:pPr>
      <w:r w:rsidRPr="00355E0A">
        <w:rPr>
          <w:rFonts w:cs="Arial"/>
          <w:sz w:val="21"/>
          <w:szCs w:val="21"/>
        </w:rPr>
        <w:t>In order to</w:t>
      </w:r>
      <w:r w:rsidR="00E87236" w:rsidRPr="00355E0A">
        <w:rPr>
          <w:rFonts w:cs="Arial"/>
          <w:sz w:val="21"/>
          <w:szCs w:val="21"/>
        </w:rPr>
        <w:t xml:space="preserve"> </w:t>
      </w:r>
      <w:r w:rsidR="00770B1D" w:rsidRPr="00355E0A">
        <w:rPr>
          <w:rFonts w:cs="Arial"/>
          <w:sz w:val="21"/>
          <w:szCs w:val="21"/>
        </w:rPr>
        <w:t>ensure</w:t>
      </w:r>
      <w:r w:rsidR="00E87236" w:rsidRPr="00355E0A">
        <w:rPr>
          <w:rFonts w:cs="Arial"/>
          <w:sz w:val="21"/>
          <w:szCs w:val="21"/>
        </w:rPr>
        <w:t xml:space="preserve"> </w:t>
      </w:r>
      <w:r w:rsidR="00770B1D" w:rsidRPr="00355E0A">
        <w:rPr>
          <w:rFonts w:cs="Arial"/>
          <w:sz w:val="21"/>
          <w:szCs w:val="21"/>
        </w:rPr>
        <w:t xml:space="preserve">a fair and proportionate assessment requirement on the part of </w:t>
      </w:r>
      <w:r w:rsidR="00E96740" w:rsidRPr="00355E0A">
        <w:rPr>
          <w:rFonts w:cs="Arial"/>
          <w:sz w:val="21"/>
          <w:szCs w:val="21"/>
        </w:rPr>
        <w:t>candidates</w:t>
      </w:r>
      <w:r w:rsidR="0087276E" w:rsidRPr="00355E0A">
        <w:rPr>
          <w:rFonts w:cs="Arial"/>
          <w:sz w:val="21"/>
          <w:szCs w:val="21"/>
        </w:rPr>
        <w:t xml:space="preserve">, </w:t>
      </w:r>
      <w:proofErr w:type="spellStart"/>
      <w:r w:rsidR="0087276E" w:rsidRPr="00355E0A">
        <w:rPr>
          <w:rFonts w:cs="Arial"/>
          <w:sz w:val="21"/>
          <w:szCs w:val="21"/>
        </w:rPr>
        <w:t>RCSEng</w:t>
      </w:r>
      <w:proofErr w:type="spellEnd"/>
      <w:r w:rsidR="0087276E" w:rsidRPr="00355E0A">
        <w:rPr>
          <w:rFonts w:cs="Arial"/>
          <w:sz w:val="21"/>
          <w:szCs w:val="21"/>
        </w:rPr>
        <w:t xml:space="preserve"> can announce the decision to</w:t>
      </w:r>
      <w:r w:rsidRPr="00355E0A">
        <w:rPr>
          <w:rFonts w:cs="Arial"/>
          <w:sz w:val="21"/>
          <w:szCs w:val="21"/>
        </w:rPr>
        <w:t xml:space="preserve"> uncouple</w:t>
      </w:r>
      <w:r w:rsidR="003239AB" w:rsidRPr="00355E0A">
        <w:rPr>
          <w:rFonts w:cs="Arial"/>
          <w:sz w:val="21"/>
          <w:szCs w:val="21"/>
        </w:rPr>
        <w:t xml:space="preserve"> </w:t>
      </w:r>
      <w:r w:rsidRPr="00355E0A">
        <w:rPr>
          <w:rFonts w:cs="Arial"/>
          <w:sz w:val="21"/>
          <w:szCs w:val="21"/>
        </w:rPr>
        <w:t xml:space="preserve">the OSCE and </w:t>
      </w:r>
      <w:r w:rsidR="0063295F" w:rsidRPr="00355E0A">
        <w:rPr>
          <w:rFonts w:cs="Arial"/>
          <w:sz w:val="21"/>
          <w:szCs w:val="21"/>
        </w:rPr>
        <w:t>USC</w:t>
      </w:r>
      <w:r w:rsidRPr="00355E0A">
        <w:rPr>
          <w:rFonts w:cs="Arial"/>
          <w:sz w:val="21"/>
          <w:szCs w:val="21"/>
        </w:rPr>
        <w:t xml:space="preserve"> components</w:t>
      </w:r>
      <w:r w:rsidR="003239AB" w:rsidRPr="00355E0A">
        <w:rPr>
          <w:rFonts w:cs="Arial"/>
          <w:sz w:val="21"/>
          <w:szCs w:val="21"/>
        </w:rPr>
        <w:t xml:space="preserve"> from the DM component</w:t>
      </w:r>
      <w:r w:rsidRPr="00355E0A">
        <w:rPr>
          <w:rFonts w:cs="Arial"/>
          <w:sz w:val="21"/>
          <w:szCs w:val="21"/>
        </w:rPr>
        <w:t xml:space="preserve">. </w:t>
      </w:r>
      <w:r w:rsidR="005D679C" w:rsidRPr="00355E0A">
        <w:rPr>
          <w:rFonts w:cs="Arial"/>
          <w:sz w:val="21"/>
          <w:szCs w:val="21"/>
        </w:rPr>
        <w:t xml:space="preserve">With such a structure, </w:t>
      </w:r>
      <w:r w:rsidR="0029622C" w:rsidRPr="00355E0A">
        <w:rPr>
          <w:rFonts w:cs="Arial"/>
          <w:sz w:val="21"/>
          <w:szCs w:val="21"/>
        </w:rPr>
        <w:t>a new</w:t>
      </w:r>
      <w:r w:rsidR="00521E7C">
        <w:rPr>
          <w:rFonts w:cs="Arial"/>
          <w:sz w:val="21"/>
          <w:szCs w:val="21"/>
        </w:rPr>
        <w:t>-</w:t>
      </w:r>
      <w:r w:rsidR="0029622C" w:rsidRPr="00355E0A">
        <w:rPr>
          <w:rFonts w:cs="Arial"/>
          <w:sz w:val="21"/>
          <w:szCs w:val="21"/>
        </w:rPr>
        <w:t xml:space="preserve">style </w:t>
      </w:r>
      <w:r w:rsidR="005D679C" w:rsidRPr="00355E0A">
        <w:rPr>
          <w:rFonts w:cs="Arial"/>
          <w:sz w:val="21"/>
          <w:szCs w:val="21"/>
        </w:rPr>
        <w:t>OSCE</w:t>
      </w:r>
      <w:r w:rsidR="0029622C" w:rsidRPr="00355E0A">
        <w:rPr>
          <w:rFonts w:cs="Arial"/>
          <w:sz w:val="21"/>
          <w:szCs w:val="21"/>
        </w:rPr>
        <w:t xml:space="preserve"> along with the</w:t>
      </w:r>
      <w:r w:rsidR="005D679C" w:rsidRPr="00355E0A">
        <w:rPr>
          <w:rFonts w:cs="Arial"/>
          <w:sz w:val="21"/>
          <w:szCs w:val="21"/>
        </w:rPr>
        <w:t xml:space="preserve"> </w:t>
      </w:r>
      <w:r w:rsidR="0029622C" w:rsidRPr="00355E0A">
        <w:rPr>
          <w:rFonts w:cs="Arial"/>
          <w:sz w:val="21"/>
          <w:szCs w:val="21"/>
        </w:rPr>
        <w:t>USC</w:t>
      </w:r>
      <w:r w:rsidR="005D679C" w:rsidRPr="00355E0A">
        <w:rPr>
          <w:rFonts w:cs="Arial"/>
          <w:sz w:val="21"/>
          <w:szCs w:val="21"/>
        </w:rPr>
        <w:t xml:space="preserve"> component would constitute the Part 2</w:t>
      </w:r>
      <w:r w:rsidR="00F64E13" w:rsidRPr="00355E0A">
        <w:rPr>
          <w:rFonts w:cs="Arial"/>
          <w:sz w:val="21"/>
          <w:szCs w:val="21"/>
        </w:rPr>
        <w:t>.  The</w:t>
      </w:r>
      <w:r w:rsidR="00521E7C">
        <w:rPr>
          <w:rFonts w:cs="Arial"/>
          <w:sz w:val="21"/>
          <w:szCs w:val="21"/>
        </w:rPr>
        <w:t xml:space="preserve"> </w:t>
      </w:r>
      <w:r w:rsidR="005D679C" w:rsidRPr="00355E0A">
        <w:rPr>
          <w:rFonts w:cs="Arial"/>
          <w:sz w:val="21"/>
          <w:szCs w:val="21"/>
        </w:rPr>
        <w:t xml:space="preserve">DM component would </w:t>
      </w:r>
      <w:r w:rsidR="00F64E13" w:rsidRPr="00355E0A">
        <w:rPr>
          <w:rFonts w:cs="Arial"/>
          <w:sz w:val="21"/>
          <w:szCs w:val="21"/>
        </w:rPr>
        <w:t xml:space="preserve">move to a </w:t>
      </w:r>
      <w:r w:rsidR="00E22D40" w:rsidRPr="00355E0A">
        <w:rPr>
          <w:rFonts w:cs="Arial"/>
          <w:sz w:val="21"/>
          <w:szCs w:val="21"/>
        </w:rPr>
        <w:t>separate</w:t>
      </w:r>
      <w:r w:rsidR="005D679C" w:rsidRPr="00355E0A">
        <w:rPr>
          <w:rFonts w:cs="Arial"/>
          <w:sz w:val="21"/>
          <w:szCs w:val="21"/>
        </w:rPr>
        <w:t xml:space="preserve"> Part 3</w:t>
      </w:r>
      <w:r w:rsidR="00F64E13" w:rsidRPr="00355E0A">
        <w:rPr>
          <w:rFonts w:cs="Arial"/>
          <w:sz w:val="21"/>
          <w:szCs w:val="21"/>
        </w:rPr>
        <w:t xml:space="preserve"> examination that would also assess some elements previously covered in the practical OSCE stations</w:t>
      </w:r>
      <w:r w:rsidR="0085285E">
        <w:rPr>
          <w:rFonts w:cs="Arial"/>
          <w:sz w:val="21"/>
          <w:szCs w:val="21"/>
        </w:rPr>
        <w:t>, to form a new Practical Clinical Skills (PSC) assessment</w:t>
      </w:r>
      <w:r w:rsidR="005D679C" w:rsidRPr="00355E0A">
        <w:rPr>
          <w:rFonts w:cs="Arial"/>
          <w:sz w:val="21"/>
          <w:szCs w:val="21"/>
        </w:rPr>
        <w:t>.</w:t>
      </w:r>
      <w:r w:rsidR="00770B1D" w:rsidRPr="00355E0A">
        <w:rPr>
          <w:rFonts w:cs="Arial"/>
          <w:sz w:val="21"/>
          <w:szCs w:val="21"/>
        </w:rPr>
        <w:t xml:space="preserve"> </w:t>
      </w:r>
      <w:r w:rsidR="00E22D40" w:rsidRPr="00355E0A">
        <w:rPr>
          <w:rFonts w:cs="Arial"/>
          <w:sz w:val="21"/>
          <w:szCs w:val="21"/>
        </w:rPr>
        <w:t>The Part 1 remains unchanged</w:t>
      </w:r>
      <w:r w:rsidR="002275EC" w:rsidRPr="00355E0A">
        <w:rPr>
          <w:rFonts w:cs="Arial"/>
          <w:sz w:val="21"/>
          <w:szCs w:val="21"/>
        </w:rPr>
        <w:t xml:space="preserve">. </w:t>
      </w:r>
      <w:r w:rsidR="00861581" w:rsidRPr="00355E0A">
        <w:rPr>
          <w:rFonts w:cs="Arial"/>
          <w:sz w:val="21"/>
          <w:szCs w:val="21"/>
        </w:rPr>
        <w:t xml:space="preserve">The table below </w:t>
      </w:r>
      <w:r w:rsidR="003341EC" w:rsidRPr="00355E0A">
        <w:rPr>
          <w:rFonts w:cs="Arial"/>
          <w:sz w:val="21"/>
          <w:szCs w:val="21"/>
        </w:rPr>
        <w:t>outlines the new structure of the exam and the cost of its component parts:</w:t>
      </w:r>
    </w:p>
    <w:p w14:paraId="15D4A4A3" w14:textId="19BCC0E8" w:rsidR="0087276E" w:rsidRPr="00355E0A" w:rsidRDefault="0087276E" w:rsidP="00964ED2">
      <w:pPr>
        <w:rPr>
          <w:rFonts w:cs="Arial"/>
          <w:sz w:val="21"/>
          <w:szCs w:val="21"/>
        </w:rPr>
      </w:pPr>
    </w:p>
    <w:tbl>
      <w:tblPr>
        <w:tblStyle w:val="RCStable"/>
        <w:tblW w:w="0" w:type="auto"/>
        <w:jc w:val="center"/>
        <w:tblLook w:val="04A0" w:firstRow="1" w:lastRow="0" w:firstColumn="1" w:lastColumn="0" w:noHBand="0" w:noVBand="1"/>
      </w:tblPr>
      <w:tblGrid>
        <w:gridCol w:w="3804"/>
        <w:gridCol w:w="3562"/>
      </w:tblGrid>
      <w:tr w:rsidR="0087276E" w:rsidRPr="00355E0A" w14:paraId="7339DFE5" w14:textId="77777777" w:rsidTr="00861581">
        <w:trPr>
          <w:cnfStyle w:val="100000000000" w:firstRow="1" w:lastRow="0" w:firstColumn="0" w:lastColumn="0" w:oddVBand="0" w:evenVBand="0" w:oddHBand="0" w:evenHBand="0" w:firstRowFirstColumn="0" w:firstRowLastColumn="0" w:lastRowFirstColumn="0" w:lastRowLastColumn="0"/>
          <w:jc w:val="center"/>
        </w:trPr>
        <w:tc>
          <w:tcPr>
            <w:tcW w:w="3804" w:type="dxa"/>
          </w:tcPr>
          <w:p w14:paraId="1B8A47DC" w14:textId="5F53DA86" w:rsidR="0087276E" w:rsidRPr="00355E0A" w:rsidRDefault="0087276E" w:rsidP="00964ED2">
            <w:pPr>
              <w:rPr>
                <w:rFonts w:cs="Arial"/>
                <w:sz w:val="21"/>
                <w:szCs w:val="21"/>
              </w:rPr>
            </w:pPr>
            <w:r w:rsidRPr="00355E0A">
              <w:rPr>
                <w:rFonts w:cs="Arial"/>
                <w:sz w:val="21"/>
                <w:szCs w:val="21"/>
              </w:rPr>
              <w:t xml:space="preserve">Previous Structure </w:t>
            </w:r>
            <w:r w:rsidR="003341EC" w:rsidRPr="00355E0A">
              <w:rPr>
                <w:rFonts w:cs="Arial"/>
                <w:sz w:val="21"/>
                <w:szCs w:val="21"/>
              </w:rPr>
              <w:t>and Costs</w:t>
            </w:r>
          </w:p>
        </w:tc>
        <w:tc>
          <w:tcPr>
            <w:tcW w:w="3562" w:type="dxa"/>
          </w:tcPr>
          <w:p w14:paraId="22F384C9" w14:textId="79BCFD4B" w:rsidR="0087276E" w:rsidRPr="00355E0A" w:rsidRDefault="0087276E" w:rsidP="00964ED2">
            <w:pPr>
              <w:rPr>
                <w:rFonts w:cs="Arial"/>
                <w:sz w:val="21"/>
                <w:szCs w:val="21"/>
              </w:rPr>
            </w:pPr>
            <w:r w:rsidRPr="00355E0A">
              <w:rPr>
                <w:rFonts w:cs="Arial"/>
                <w:sz w:val="21"/>
                <w:szCs w:val="21"/>
              </w:rPr>
              <w:t xml:space="preserve">New Structure </w:t>
            </w:r>
            <w:r w:rsidR="003341EC" w:rsidRPr="00355E0A">
              <w:rPr>
                <w:rFonts w:cs="Arial"/>
                <w:sz w:val="21"/>
                <w:szCs w:val="21"/>
              </w:rPr>
              <w:t>and Costs</w:t>
            </w:r>
          </w:p>
        </w:tc>
      </w:tr>
      <w:tr w:rsidR="0087276E" w:rsidRPr="00355E0A" w14:paraId="261F68B1" w14:textId="77777777" w:rsidTr="00A92957">
        <w:trPr>
          <w:cnfStyle w:val="000000100000" w:firstRow="0" w:lastRow="0" w:firstColumn="0" w:lastColumn="0" w:oddVBand="0" w:evenVBand="0" w:oddHBand="1" w:evenHBand="0" w:firstRowFirstColumn="0" w:firstRowLastColumn="0" w:lastRowFirstColumn="0" w:lastRowLastColumn="0"/>
          <w:trHeight w:val="954"/>
          <w:jc w:val="center"/>
        </w:trPr>
        <w:tc>
          <w:tcPr>
            <w:tcW w:w="3804" w:type="dxa"/>
          </w:tcPr>
          <w:p w14:paraId="0E4F3BF8" w14:textId="3F816ACA" w:rsidR="0087276E" w:rsidRPr="00355E0A" w:rsidRDefault="0087276E" w:rsidP="00964ED2">
            <w:pPr>
              <w:rPr>
                <w:rFonts w:cs="Arial"/>
                <w:sz w:val="21"/>
                <w:szCs w:val="21"/>
              </w:rPr>
            </w:pPr>
            <w:r w:rsidRPr="00355E0A">
              <w:rPr>
                <w:rFonts w:cs="Arial"/>
                <w:sz w:val="21"/>
                <w:szCs w:val="21"/>
              </w:rPr>
              <w:t>Part 1 (SBA/EMQ Paper 1 and 2)</w:t>
            </w:r>
            <w:r w:rsidR="003341EC" w:rsidRPr="00355E0A">
              <w:rPr>
                <w:rFonts w:cs="Arial"/>
                <w:sz w:val="21"/>
                <w:szCs w:val="21"/>
              </w:rPr>
              <w:t xml:space="preserve"> £850</w:t>
            </w:r>
          </w:p>
        </w:tc>
        <w:tc>
          <w:tcPr>
            <w:tcW w:w="3562" w:type="dxa"/>
          </w:tcPr>
          <w:p w14:paraId="15FD9C17" w14:textId="77777777" w:rsidR="0087276E" w:rsidRPr="00355E0A" w:rsidRDefault="0087276E" w:rsidP="00964ED2">
            <w:pPr>
              <w:rPr>
                <w:rFonts w:cs="Arial"/>
                <w:sz w:val="21"/>
                <w:szCs w:val="21"/>
              </w:rPr>
            </w:pPr>
            <w:r w:rsidRPr="00355E0A">
              <w:rPr>
                <w:rFonts w:cs="Arial"/>
                <w:sz w:val="21"/>
                <w:szCs w:val="21"/>
              </w:rPr>
              <w:t>Part 1 (SBA/EMQ Paper 1 and 2)</w:t>
            </w:r>
            <w:r w:rsidR="003341EC" w:rsidRPr="00355E0A">
              <w:rPr>
                <w:rFonts w:cs="Arial"/>
                <w:sz w:val="21"/>
                <w:szCs w:val="21"/>
              </w:rPr>
              <w:t xml:space="preserve"> </w:t>
            </w:r>
          </w:p>
          <w:p w14:paraId="10BC629A" w14:textId="4FDD8683" w:rsidR="003341EC" w:rsidRPr="00355E0A" w:rsidRDefault="00D22711" w:rsidP="00964ED2">
            <w:pPr>
              <w:rPr>
                <w:rFonts w:cs="Arial"/>
                <w:sz w:val="21"/>
                <w:szCs w:val="21"/>
              </w:rPr>
            </w:pPr>
            <w:r w:rsidRPr="00355E0A">
              <w:rPr>
                <w:rFonts w:cs="Arial"/>
                <w:sz w:val="21"/>
                <w:szCs w:val="21"/>
              </w:rPr>
              <w:t>£900</w:t>
            </w:r>
          </w:p>
        </w:tc>
      </w:tr>
      <w:tr w:rsidR="00A92957" w:rsidRPr="00355E0A" w14:paraId="34D4E661" w14:textId="77777777" w:rsidTr="00A92957">
        <w:trPr>
          <w:trHeight w:val="554"/>
          <w:jc w:val="center"/>
        </w:trPr>
        <w:tc>
          <w:tcPr>
            <w:tcW w:w="3804" w:type="dxa"/>
            <w:vMerge w:val="restart"/>
          </w:tcPr>
          <w:p w14:paraId="3A73959A" w14:textId="77777777" w:rsidR="00A92957" w:rsidRPr="00355E0A" w:rsidRDefault="00A92957" w:rsidP="00964ED2">
            <w:pPr>
              <w:rPr>
                <w:rFonts w:cs="Arial"/>
                <w:sz w:val="21"/>
                <w:szCs w:val="21"/>
              </w:rPr>
            </w:pPr>
            <w:r w:rsidRPr="00355E0A">
              <w:rPr>
                <w:rFonts w:cs="Arial"/>
                <w:sz w:val="21"/>
                <w:szCs w:val="21"/>
              </w:rPr>
              <w:t>Part 2 (USC, OSCE, DM)</w:t>
            </w:r>
          </w:p>
          <w:p w14:paraId="1E00115D" w14:textId="65CC2A74" w:rsidR="00A92957" w:rsidRPr="00355E0A" w:rsidRDefault="00A92957" w:rsidP="00964ED2">
            <w:pPr>
              <w:rPr>
                <w:rFonts w:cs="Arial"/>
                <w:sz w:val="21"/>
                <w:szCs w:val="21"/>
              </w:rPr>
            </w:pPr>
            <w:r w:rsidRPr="00355E0A">
              <w:rPr>
                <w:rFonts w:cs="Arial"/>
                <w:sz w:val="21"/>
                <w:szCs w:val="21"/>
              </w:rPr>
              <w:t>£2940</w:t>
            </w:r>
          </w:p>
        </w:tc>
        <w:tc>
          <w:tcPr>
            <w:tcW w:w="3562" w:type="dxa"/>
          </w:tcPr>
          <w:p w14:paraId="2F3C33F0" w14:textId="77777777" w:rsidR="00A92957" w:rsidRPr="00355E0A" w:rsidRDefault="00A92957" w:rsidP="00964ED2">
            <w:pPr>
              <w:rPr>
                <w:rFonts w:cs="Arial"/>
                <w:sz w:val="21"/>
                <w:szCs w:val="21"/>
              </w:rPr>
            </w:pPr>
            <w:r w:rsidRPr="00355E0A">
              <w:rPr>
                <w:rFonts w:cs="Arial"/>
                <w:sz w:val="21"/>
                <w:szCs w:val="21"/>
              </w:rPr>
              <w:t>Part 2 (USC, OSCE)</w:t>
            </w:r>
          </w:p>
          <w:p w14:paraId="03A6E612" w14:textId="4985A7C3" w:rsidR="00A92957" w:rsidRPr="00355E0A" w:rsidRDefault="00A92957" w:rsidP="00964ED2">
            <w:pPr>
              <w:rPr>
                <w:rFonts w:cs="Arial"/>
                <w:sz w:val="21"/>
                <w:szCs w:val="21"/>
              </w:rPr>
            </w:pPr>
            <w:r w:rsidRPr="00355E0A">
              <w:rPr>
                <w:rFonts w:cs="Arial"/>
                <w:sz w:val="21"/>
                <w:szCs w:val="21"/>
              </w:rPr>
              <w:t>£1575</w:t>
            </w:r>
          </w:p>
        </w:tc>
      </w:tr>
      <w:tr w:rsidR="00A92957" w:rsidRPr="00355E0A" w14:paraId="34041AC7" w14:textId="77777777" w:rsidTr="00A92957">
        <w:trPr>
          <w:cnfStyle w:val="000000100000" w:firstRow="0" w:lastRow="0" w:firstColumn="0" w:lastColumn="0" w:oddVBand="0" w:evenVBand="0" w:oddHBand="1" w:evenHBand="0" w:firstRowFirstColumn="0" w:firstRowLastColumn="0" w:lastRowFirstColumn="0" w:lastRowLastColumn="0"/>
          <w:trHeight w:val="550"/>
          <w:jc w:val="center"/>
        </w:trPr>
        <w:tc>
          <w:tcPr>
            <w:tcW w:w="3804" w:type="dxa"/>
            <w:vMerge/>
          </w:tcPr>
          <w:p w14:paraId="6696E6A9" w14:textId="77777777" w:rsidR="00A92957" w:rsidRPr="00355E0A" w:rsidRDefault="00A92957" w:rsidP="00964ED2">
            <w:pPr>
              <w:rPr>
                <w:rFonts w:cs="Arial"/>
                <w:sz w:val="21"/>
                <w:szCs w:val="21"/>
              </w:rPr>
            </w:pPr>
          </w:p>
        </w:tc>
        <w:tc>
          <w:tcPr>
            <w:tcW w:w="3562" w:type="dxa"/>
          </w:tcPr>
          <w:p w14:paraId="577A1F09" w14:textId="763E9C98" w:rsidR="00A92957" w:rsidRPr="00355E0A" w:rsidRDefault="00A92957" w:rsidP="00964ED2">
            <w:pPr>
              <w:rPr>
                <w:rFonts w:cs="Arial"/>
                <w:sz w:val="21"/>
                <w:szCs w:val="21"/>
              </w:rPr>
            </w:pPr>
            <w:r w:rsidRPr="00355E0A">
              <w:rPr>
                <w:rFonts w:cs="Arial"/>
                <w:sz w:val="21"/>
                <w:szCs w:val="21"/>
              </w:rPr>
              <w:t>Part 3 (</w:t>
            </w:r>
            <w:r>
              <w:rPr>
                <w:rFonts w:cs="Arial"/>
                <w:sz w:val="21"/>
                <w:szCs w:val="21"/>
              </w:rPr>
              <w:t>PCS</w:t>
            </w:r>
            <w:r w:rsidRPr="00355E0A">
              <w:rPr>
                <w:rFonts w:cs="Arial"/>
                <w:sz w:val="21"/>
                <w:szCs w:val="21"/>
              </w:rPr>
              <w:t>)</w:t>
            </w:r>
          </w:p>
          <w:p w14:paraId="461BCFEA" w14:textId="4B2B5820" w:rsidR="00A92957" w:rsidRPr="00355E0A" w:rsidRDefault="00A92957" w:rsidP="003341EC">
            <w:pPr>
              <w:rPr>
                <w:rFonts w:cs="Arial"/>
                <w:sz w:val="21"/>
                <w:szCs w:val="21"/>
              </w:rPr>
            </w:pPr>
            <w:r w:rsidRPr="00355E0A">
              <w:rPr>
                <w:rFonts w:cs="Arial"/>
                <w:sz w:val="21"/>
                <w:szCs w:val="21"/>
              </w:rPr>
              <w:t>£1525</w:t>
            </w:r>
          </w:p>
        </w:tc>
      </w:tr>
    </w:tbl>
    <w:p w14:paraId="598D5A62" w14:textId="77777777" w:rsidR="00861581" w:rsidRPr="00355E0A" w:rsidRDefault="00861581" w:rsidP="00964ED2">
      <w:pPr>
        <w:rPr>
          <w:rFonts w:cs="Arial"/>
          <w:sz w:val="21"/>
          <w:szCs w:val="21"/>
        </w:rPr>
      </w:pPr>
    </w:p>
    <w:p w14:paraId="12904E3B" w14:textId="6DE2A00D" w:rsidR="00964ED2" w:rsidRPr="00355E0A" w:rsidRDefault="00E22D40" w:rsidP="00964ED2">
      <w:pPr>
        <w:rPr>
          <w:rFonts w:cs="Arial"/>
          <w:sz w:val="21"/>
          <w:szCs w:val="21"/>
        </w:rPr>
      </w:pPr>
      <w:r w:rsidRPr="00355E0A">
        <w:rPr>
          <w:rFonts w:cs="Arial"/>
          <w:sz w:val="21"/>
          <w:szCs w:val="21"/>
        </w:rPr>
        <w:t>Candidates are still required to pass the Part 1 to enter the Part 2</w:t>
      </w:r>
      <w:r w:rsidR="002275EC" w:rsidRPr="00355E0A">
        <w:rPr>
          <w:rFonts w:cs="Arial"/>
          <w:sz w:val="21"/>
          <w:szCs w:val="21"/>
        </w:rPr>
        <w:t xml:space="preserve"> (those passing the Part 1 previously will not need to </w:t>
      </w:r>
      <w:proofErr w:type="spellStart"/>
      <w:r w:rsidR="002275EC" w:rsidRPr="00355E0A">
        <w:rPr>
          <w:rFonts w:cs="Arial"/>
          <w:sz w:val="21"/>
          <w:szCs w:val="21"/>
        </w:rPr>
        <w:t>resit</w:t>
      </w:r>
      <w:proofErr w:type="spellEnd"/>
      <w:r w:rsidR="002275EC" w:rsidRPr="00355E0A">
        <w:rPr>
          <w:rFonts w:cs="Arial"/>
          <w:sz w:val="21"/>
          <w:szCs w:val="21"/>
        </w:rPr>
        <w:t xml:space="preserve"> this)</w:t>
      </w:r>
      <w:r w:rsidRPr="00355E0A">
        <w:rPr>
          <w:rFonts w:cs="Arial"/>
          <w:sz w:val="21"/>
          <w:szCs w:val="21"/>
        </w:rPr>
        <w:t xml:space="preserve">; likewise, candidates are required to have passed the Part 2 to enter the Part 3. Passes in either component can be ‘banked’ (as is currently the case with the Part 1), enabling candidates to sit subsequent components on </w:t>
      </w:r>
      <w:r w:rsidR="00770B1D" w:rsidRPr="00355E0A">
        <w:rPr>
          <w:rFonts w:cs="Arial"/>
          <w:sz w:val="21"/>
          <w:szCs w:val="21"/>
        </w:rPr>
        <w:t>multiple occasions</w:t>
      </w:r>
      <w:r w:rsidR="007C5399" w:rsidRPr="00355E0A">
        <w:rPr>
          <w:rFonts w:cs="Arial"/>
          <w:sz w:val="21"/>
          <w:szCs w:val="21"/>
        </w:rPr>
        <w:t xml:space="preserve"> </w:t>
      </w:r>
      <w:r w:rsidR="00770B1D" w:rsidRPr="00355E0A">
        <w:rPr>
          <w:rFonts w:cs="Arial"/>
          <w:sz w:val="21"/>
          <w:szCs w:val="21"/>
        </w:rPr>
        <w:t>if required on the condition that this</w:t>
      </w:r>
      <w:r w:rsidR="00436FE4" w:rsidRPr="00355E0A">
        <w:rPr>
          <w:rFonts w:cs="Arial"/>
          <w:sz w:val="21"/>
          <w:szCs w:val="21"/>
        </w:rPr>
        <w:t xml:space="preserve"> is</w:t>
      </w:r>
      <w:r w:rsidR="00770B1D" w:rsidRPr="00355E0A">
        <w:rPr>
          <w:rFonts w:cs="Arial"/>
          <w:sz w:val="21"/>
          <w:szCs w:val="21"/>
        </w:rPr>
        <w:t xml:space="preserve"> within the </w:t>
      </w:r>
      <w:r w:rsidR="007C5399" w:rsidRPr="00355E0A">
        <w:rPr>
          <w:rFonts w:cs="Arial"/>
          <w:sz w:val="21"/>
          <w:szCs w:val="21"/>
        </w:rPr>
        <w:t xml:space="preserve">attempts limit and </w:t>
      </w:r>
      <w:r w:rsidR="00770B1D" w:rsidRPr="00355E0A">
        <w:rPr>
          <w:rFonts w:cs="Arial"/>
          <w:sz w:val="21"/>
          <w:szCs w:val="21"/>
        </w:rPr>
        <w:t>overall currency period identified</w:t>
      </w:r>
      <w:r w:rsidR="007C5399" w:rsidRPr="00355E0A">
        <w:rPr>
          <w:rFonts w:cs="Arial"/>
          <w:sz w:val="21"/>
          <w:szCs w:val="21"/>
        </w:rPr>
        <w:t xml:space="preserve"> (</w:t>
      </w:r>
      <w:r w:rsidR="00D07321">
        <w:rPr>
          <w:rFonts w:cs="Arial"/>
          <w:sz w:val="21"/>
          <w:szCs w:val="21"/>
        </w:rPr>
        <w:t xml:space="preserve">see </w:t>
      </w:r>
      <w:r w:rsidR="00EC50CE" w:rsidRPr="00355E0A">
        <w:rPr>
          <w:rFonts w:cs="Arial"/>
          <w:sz w:val="21"/>
          <w:szCs w:val="21"/>
        </w:rPr>
        <w:t>section on attempts and currency below).</w:t>
      </w:r>
      <w:r w:rsidR="00770B1D" w:rsidRPr="00355E0A">
        <w:rPr>
          <w:rFonts w:cs="Arial"/>
          <w:sz w:val="21"/>
          <w:szCs w:val="21"/>
        </w:rPr>
        <w:t xml:space="preserve"> </w:t>
      </w:r>
    </w:p>
    <w:p w14:paraId="5EDBED73" w14:textId="77777777" w:rsidR="00861581" w:rsidRPr="00355E0A" w:rsidRDefault="00861581" w:rsidP="00964ED2">
      <w:pPr>
        <w:rPr>
          <w:rFonts w:cs="Arial"/>
          <w:sz w:val="21"/>
          <w:szCs w:val="21"/>
        </w:rPr>
      </w:pPr>
    </w:p>
    <w:p w14:paraId="772DB09A" w14:textId="31B44C29" w:rsidR="00F812A8" w:rsidRPr="00355E0A" w:rsidRDefault="0056061E" w:rsidP="00964ED2">
      <w:pPr>
        <w:rPr>
          <w:rFonts w:cs="Arial"/>
          <w:b/>
          <w:sz w:val="21"/>
          <w:szCs w:val="21"/>
        </w:rPr>
      </w:pPr>
      <w:r w:rsidRPr="00355E0A">
        <w:rPr>
          <w:rFonts w:cs="Arial"/>
          <w:b/>
          <w:sz w:val="21"/>
          <w:szCs w:val="21"/>
        </w:rPr>
        <w:t>Benefits of the New Structure</w:t>
      </w:r>
    </w:p>
    <w:p w14:paraId="477FBBE5" w14:textId="782FAE3C" w:rsidR="00E22D40" w:rsidRPr="00355E0A" w:rsidRDefault="00E22D40" w:rsidP="00F812A8">
      <w:pPr>
        <w:rPr>
          <w:rFonts w:cs="Arial"/>
          <w:sz w:val="21"/>
          <w:szCs w:val="21"/>
        </w:rPr>
      </w:pPr>
      <w:r w:rsidRPr="00355E0A">
        <w:rPr>
          <w:rFonts w:cs="Arial"/>
          <w:sz w:val="21"/>
          <w:szCs w:val="21"/>
        </w:rPr>
        <w:t xml:space="preserve">The change in structure will serve </w:t>
      </w:r>
      <w:r w:rsidR="00D050FE" w:rsidRPr="00355E0A">
        <w:rPr>
          <w:rFonts w:cs="Arial"/>
          <w:sz w:val="21"/>
          <w:szCs w:val="21"/>
        </w:rPr>
        <w:t>four</w:t>
      </w:r>
      <w:r w:rsidRPr="00355E0A">
        <w:rPr>
          <w:rFonts w:cs="Arial"/>
          <w:sz w:val="21"/>
          <w:szCs w:val="21"/>
        </w:rPr>
        <w:t xml:space="preserve"> benefits to </w:t>
      </w:r>
      <w:r w:rsidR="00861581" w:rsidRPr="00355E0A">
        <w:rPr>
          <w:rFonts w:cs="Arial"/>
          <w:sz w:val="21"/>
          <w:szCs w:val="21"/>
        </w:rPr>
        <w:t>candidates by</w:t>
      </w:r>
      <w:r w:rsidR="00D050FE" w:rsidRPr="00355E0A">
        <w:rPr>
          <w:rFonts w:cs="Arial"/>
          <w:sz w:val="21"/>
          <w:szCs w:val="21"/>
        </w:rPr>
        <w:t>:</w:t>
      </w:r>
    </w:p>
    <w:p w14:paraId="7FF26817" w14:textId="77777777" w:rsidR="00861581" w:rsidRPr="00355E0A" w:rsidRDefault="00861581" w:rsidP="00F812A8">
      <w:pPr>
        <w:rPr>
          <w:rFonts w:cs="Arial"/>
          <w:sz w:val="21"/>
          <w:szCs w:val="21"/>
        </w:rPr>
      </w:pPr>
    </w:p>
    <w:p w14:paraId="7D100038" w14:textId="4E76C846" w:rsidR="00E22D40" w:rsidRPr="00355E0A" w:rsidRDefault="00D050FE" w:rsidP="00E22D40">
      <w:pPr>
        <w:pStyle w:val="ListParagraph"/>
        <w:numPr>
          <w:ilvl w:val="0"/>
          <w:numId w:val="3"/>
        </w:numPr>
        <w:rPr>
          <w:rFonts w:ascii="Arial" w:hAnsi="Arial" w:cs="Arial"/>
          <w:sz w:val="21"/>
          <w:szCs w:val="21"/>
        </w:rPr>
      </w:pPr>
      <w:r w:rsidRPr="00355E0A">
        <w:rPr>
          <w:rFonts w:ascii="Arial" w:hAnsi="Arial" w:cs="Arial"/>
          <w:sz w:val="21"/>
          <w:szCs w:val="21"/>
        </w:rPr>
        <w:t>M</w:t>
      </w:r>
      <w:r w:rsidR="005D679C" w:rsidRPr="00355E0A">
        <w:rPr>
          <w:rFonts w:ascii="Arial" w:hAnsi="Arial" w:cs="Arial"/>
          <w:sz w:val="21"/>
          <w:szCs w:val="21"/>
        </w:rPr>
        <w:t>inimis</w:t>
      </w:r>
      <w:r w:rsidR="00861581" w:rsidRPr="00355E0A">
        <w:rPr>
          <w:rFonts w:ascii="Arial" w:hAnsi="Arial" w:cs="Arial"/>
          <w:sz w:val="21"/>
          <w:szCs w:val="21"/>
        </w:rPr>
        <w:t>ing</w:t>
      </w:r>
      <w:r w:rsidR="005D679C" w:rsidRPr="00355E0A">
        <w:rPr>
          <w:rFonts w:ascii="Arial" w:hAnsi="Arial" w:cs="Arial"/>
          <w:sz w:val="21"/>
          <w:szCs w:val="21"/>
        </w:rPr>
        <w:t xml:space="preserve"> duplication of assessment for </w:t>
      </w:r>
      <w:r w:rsidR="00E87236" w:rsidRPr="00355E0A">
        <w:rPr>
          <w:rFonts w:ascii="Arial" w:hAnsi="Arial" w:cs="Arial"/>
          <w:sz w:val="21"/>
          <w:szCs w:val="21"/>
        </w:rPr>
        <w:t>those</w:t>
      </w:r>
      <w:r w:rsidR="005D679C" w:rsidRPr="00355E0A">
        <w:rPr>
          <w:rFonts w:ascii="Arial" w:hAnsi="Arial" w:cs="Arial"/>
          <w:sz w:val="21"/>
          <w:szCs w:val="21"/>
        </w:rPr>
        <w:t xml:space="preserve"> who have previously passed the OSCE and</w:t>
      </w:r>
      <w:r w:rsidR="00242C4A" w:rsidRPr="00355E0A">
        <w:rPr>
          <w:rFonts w:ascii="Arial" w:hAnsi="Arial" w:cs="Arial"/>
          <w:sz w:val="21"/>
          <w:szCs w:val="21"/>
        </w:rPr>
        <w:t xml:space="preserve"> USC</w:t>
      </w:r>
      <w:r w:rsidR="005D679C" w:rsidRPr="00355E0A">
        <w:rPr>
          <w:rFonts w:ascii="Arial" w:hAnsi="Arial" w:cs="Arial"/>
          <w:sz w:val="21"/>
          <w:szCs w:val="21"/>
        </w:rPr>
        <w:t xml:space="preserve"> components, but have to </w:t>
      </w:r>
      <w:proofErr w:type="spellStart"/>
      <w:r w:rsidR="005D679C" w:rsidRPr="00355E0A">
        <w:rPr>
          <w:rFonts w:ascii="Arial" w:hAnsi="Arial" w:cs="Arial"/>
          <w:sz w:val="21"/>
          <w:szCs w:val="21"/>
        </w:rPr>
        <w:t>resit</w:t>
      </w:r>
      <w:proofErr w:type="spellEnd"/>
      <w:r w:rsidR="005D679C" w:rsidRPr="00355E0A">
        <w:rPr>
          <w:rFonts w:ascii="Arial" w:hAnsi="Arial" w:cs="Arial"/>
          <w:sz w:val="21"/>
          <w:szCs w:val="21"/>
        </w:rPr>
        <w:t xml:space="preserve"> these if they pre</w:t>
      </w:r>
      <w:r w:rsidR="00E87236" w:rsidRPr="00355E0A">
        <w:rPr>
          <w:rFonts w:ascii="Arial" w:hAnsi="Arial" w:cs="Arial"/>
          <w:sz w:val="21"/>
          <w:szCs w:val="21"/>
        </w:rPr>
        <w:t>viously failed the DM component</w:t>
      </w:r>
      <w:r w:rsidR="00770B1D" w:rsidRPr="00355E0A">
        <w:rPr>
          <w:rFonts w:ascii="Arial" w:hAnsi="Arial" w:cs="Arial"/>
          <w:sz w:val="21"/>
          <w:szCs w:val="21"/>
        </w:rPr>
        <w:t xml:space="preserve">. </w:t>
      </w:r>
    </w:p>
    <w:p w14:paraId="64C19617" w14:textId="77777777" w:rsidR="00861581" w:rsidRPr="00355E0A" w:rsidRDefault="00861581" w:rsidP="00861581">
      <w:pPr>
        <w:pStyle w:val="ListParagraph"/>
        <w:rPr>
          <w:rFonts w:ascii="Arial" w:hAnsi="Arial" w:cs="Arial"/>
          <w:sz w:val="21"/>
          <w:szCs w:val="21"/>
        </w:rPr>
      </w:pPr>
    </w:p>
    <w:p w14:paraId="2EDCF7DC" w14:textId="360464CE" w:rsidR="00F812A8" w:rsidRPr="00355E0A" w:rsidRDefault="00D050FE" w:rsidP="00E22D40">
      <w:pPr>
        <w:pStyle w:val="ListParagraph"/>
        <w:numPr>
          <w:ilvl w:val="0"/>
          <w:numId w:val="3"/>
        </w:numPr>
        <w:rPr>
          <w:rFonts w:ascii="Arial" w:hAnsi="Arial" w:cs="Arial"/>
          <w:sz w:val="21"/>
          <w:szCs w:val="21"/>
        </w:rPr>
      </w:pPr>
      <w:r w:rsidRPr="00355E0A">
        <w:rPr>
          <w:rFonts w:ascii="Arial" w:hAnsi="Arial" w:cs="Arial"/>
          <w:sz w:val="21"/>
          <w:szCs w:val="21"/>
        </w:rPr>
        <w:t>E</w:t>
      </w:r>
      <w:r w:rsidR="00861581" w:rsidRPr="00355E0A">
        <w:rPr>
          <w:rFonts w:ascii="Arial" w:hAnsi="Arial" w:cs="Arial"/>
          <w:sz w:val="21"/>
          <w:szCs w:val="21"/>
        </w:rPr>
        <w:t xml:space="preserve">nsuring </w:t>
      </w:r>
      <w:r w:rsidR="00E87236" w:rsidRPr="00355E0A">
        <w:rPr>
          <w:rFonts w:ascii="Arial" w:hAnsi="Arial" w:cs="Arial"/>
          <w:sz w:val="21"/>
          <w:szCs w:val="21"/>
        </w:rPr>
        <w:t>that candidates only have to pay to sit those components that they have yet to pass.</w:t>
      </w:r>
    </w:p>
    <w:p w14:paraId="51BEDB64" w14:textId="41661516" w:rsidR="00861581" w:rsidRPr="00355E0A" w:rsidRDefault="00861581" w:rsidP="00861581">
      <w:pPr>
        <w:rPr>
          <w:rFonts w:cs="Arial"/>
          <w:sz w:val="21"/>
          <w:szCs w:val="21"/>
        </w:rPr>
      </w:pPr>
    </w:p>
    <w:p w14:paraId="08ACFE43" w14:textId="42490541" w:rsidR="00D050FE" w:rsidRPr="00355E0A" w:rsidRDefault="00D050FE" w:rsidP="00C02C2D">
      <w:pPr>
        <w:pStyle w:val="ListParagraph"/>
        <w:numPr>
          <w:ilvl w:val="0"/>
          <w:numId w:val="3"/>
        </w:numPr>
        <w:rPr>
          <w:rFonts w:ascii="Arial" w:hAnsi="Arial" w:cs="Arial"/>
          <w:sz w:val="21"/>
          <w:szCs w:val="21"/>
        </w:rPr>
      </w:pPr>
      <w:r w:rsidRPr="00355E0A">
        <w:rPr>
          <w:rFonts w:ascii="Arial" w:hAnsi="Arial" w:cs="Arial"/>
          <w:sz w:val="21"/>
          <w:szCs w:val="21"/>
        </w:rPr>
        <w:t>E</w:t>
      </w:r>
      <w:r w:rsidR="00861581" w:rsidRPr="00355E0A">
        <w:rPr>
          <w:rFonts w:ascii="Arial" w:hAnsi="Arial" w:cs="Arial"/>
          <w:sz w:val="21"/>
          <w:szCs w:val="21"/>
        </w:rPr>
        <w:t>nabling</w:t>
      </w:r>
      <w:r w:rsidR="00E22D40" w:rsidRPr="00355E0A">
        <w:rPr>
          <w:rFonts w:ascii="Arial" w:hAnsi="Arial" w:cs="Arial"/>
          <w:sz w:val="21"/>
          <w:szCs w:val="21"/>
        </w:rPr>
        <w:t xml:space="preserve"> the </w:t>
      </w:r>
      <w:proofErr w:type="spellStart"/>
      <w:r w:rsidR="00E22D40" w:rsidRPr="00355E0A">
        <w:rPr>
          <w:rFonts w:ascii="Arial" w:hAnsi="Arial" w:cs="Arial"/>
          <w:sz w:val="21"/>
          <w:szCs w:val="21"/>
        </w:rPr>
        <w:t>RCSEng</w:t>
      </w:r>
      <w:proofErr w:type="spellEnd"/>
      <w:r w:rsidR="00E22D40" w:rsidRPr="00355E0A">
        <w:rPr>
          <w:rFonts w:ascii="Arial" w:hAnsi="Arial" w:cs="Arial"/>
          <w:sz w:val="21"/>
          <w:szCs w:val="21"/>
        </w:rPr>
        <w:t xml:space="preserve"> </w:t>
      </w:r>
      <w:r w:rsidR="00A81BD4" w:rsidRPr="00355E0A">
        <w:rPr>
          <w:rFonts w:ascii="Arial" w:hAnsi="Arial" w:cs="Arial"/>
          <w:sz w:val="21"/>
          <w:szCs w:val="21"/>
        </w:rPr>
        <w:t xml:space="preserve">to offer more frequent diets of </w:t>
      </w:r>
      <w:r w:rsidR="00505FDC" w:rsidRPr="00355E0A">
        <w:rPr>
          <w:rFonts w:ascii="Arial" w:hAnsi="Arial" w:cs="Arial"/>
          <w:sz w:val="21"/>
          <w:szCs w:val="21"/>
        </w:rPr>
        <w:t>Part 3 (</w:t>
      </w:r>
      <w:r w:rsidR="001D24B9">
        <w:rPr>
          <w:rFonts w:ascii="Arial" w:hAnsi="Arial" w:cs="Arial"/>
          <w:sz w:val="21"/>
          <w:szCs w:val="21"/>
        </w:rPr>
        <w:t>PCS</w:t>
      </w:r>
      <w:r w:rsidR="00505FDC" w:rsidRPr="00355E0A">
        <w:rPr>
          <w:rFonts w:ascii="Arial" w:hAnsi="Arial" w:cs="Arial"/>
          <w:sz w:val="21"/>
          <w:szCs w:val="21"/>
        </w:rPr>
        <w:t>)</w:t>
      </w:r>
      <w:r w:rsidR="00E22D40" w:rsidRPr="00355E0A">
        <w:rPr>
          <w:rFonts w:ascii="Arial" w:hAnsi="Arial" w:cs="Arial"/>
          <w:sz w:val="21"/>
          <w:szCs w:val="21"/>
        </w:rPr>
        <w:t xml:space="preserve"> component</w:t>
      </w:r>
      <w:r w:rsidR="00A81BD4" w:rsidRPr="00355E0A">
        <w:rPr>
          <w:rFonts w:ascii="Arial" w:hAnsi="Arial" w:cs="Arial"/>
          <w:sz w:val="21"/>
          <w:szCs w:val="21"/>
        </w:rPr>
        <w:t xml:space="preserve">, </w:t>
      </w:r>
      <w:r w:rsidR="00E22D40" w:rsidRPr="00355E0A">
        <w:rPr>
          <w:rFonts w:ascii="Arial" w:hAnsi="Arial" w:cs="Arial"/>
          <w:sz w:val="21"/>
          <w:szCs w:val="21"/>
        </w:rPr>
        <w:t>ensuring that candidates are able to be accommodated with the examination more efficiently</w:t>
      </w:r>
      <w:r w:rsidR="00505FDC" w:rsidRPr="00355E0A">
        <w:rPr>
          <w:rFonts w:ascii="Arial" w:hAnsi="Arial" w:cs="Arial"/>
          <w:sz w:val="21"/>
          <w:szCs w:val="21"/>
        </w:rPr>
        <w:t xml:space="preserve">. </w:t>
      </w:r>
    </w:p>
    <w:p w14:paraId="3615F7BA" w14:textId="5D4400CA" w:rsidR="00861581" w:rsidRPr="00355E0A" w:rsidRDefault="00861581" w:rsidP="00861581">
      <w:pPr>
        <w:rPr>
          <w:rFonts w:cs="Arial"/>
          <w:sz w:val="21"/>
          <w:szCs w:val="21"/>
        </w:rPr>
      </w:pPr>
    </w:p>
    <w:p w14:paraId="3B78133A" w14:textId="554D456B" w:rsidR="00C02C2D" w:rsidRPr="00355E0A" w:rsidRDefault="00D050FE" w:rsidP="00C02C2D">
      <w:pPr>
        <w:pStyle w:val="ListParagraph"/>
        <w:numPr>
          <w:ilvl w:val="0"/>
          <w:numId w:val="3"/>
        </w:numPr>
        <w:rPr>
          <w:rFonts w:ascii="Arial" w:hAnsi="Arial" w:cs="Arial"/>
          <w:sz w:val="21"/>
          <w:szCs w:val="21"/>
        </w:rPr>
      </w:pPr>
      <w:r w:rsidRPr="00355E0A">
        <w:rPr>
          <w:rFonts w:ascii="Arial" w:hAnsi="Arial" w:cs="Arial"/>
          <w:sz w:val="21"/>
          <w:szCs w:val="21"/>
        </w:rPr>
        <w:lastRenderedPageBreak/>
        <w:t>F</w:t>
      </w:r>
      <w:r w:rsidR="00861581" w:rsidRPr="00355E0A">
        <w:rPr>
          <w:rFonts w:ascii="Arial" w:hAnsi="Arial" w:cs="Arial"/>
          <w:sz w:val="21"/>
          <w:szCs w:val="21"/>
        </w:rPr>
        <w:t>acilitating</w:t>
      </w:r>
      <w:r w:rsidR="00C02C2D" w:rsidRPr="00355E0A">
        <w:rPr>
          <w:rFonts w:ascii="Arial" w:hAnsi="Arial" w:cs="Arial"/>
          <w:sz w:val="21"/>
          <w:szCs w:val="21"/>
        </w:rPr>
        <w:t xml:space="preserve"> a structure in which all of the practical elements would be assessed within the same component (the Part 3)</w:t>
      </w:r>
      <w:r w:rsidRPr="00355E0A">
        <w:rPr>
          <w:rFonts w:ascii="Arial" w:hAnsi="Arial" w:cs="Arial"/>
          <w:sz w:val="21"/>
          <w:szCs w:val="21"/>
        </w:rPr>
        <w:t>, enabling candidates to adopt a more focused approach to their examination preparation.</w:t>
      </w:r>
      <w:r w:rsidR="00C02C2D" w:rsidRPr="00355E0A">
        <w:rPr>
          <w:rFonts w:ascii="Arial" w:hAnsi="Arial" w:cs="Arial"/>
          <w:sz w:val="21"/>
          <w:szCs w:val="21"/>
        </w:rPr>
        <w:t xml:space="preserve"> </w:t>
      </w:r>
    </w:p>
    <w:p w14:paraId="57159130" w14:textId="77777777" w:rsidR="00A92957" w:rsidRDefault="00A92957" w:rsidP="00F812A8">
      <w:pPr>
        <w:rPr>
          <w:rFonts w:cs="Arial"/>
          <w:b/>
          <w:sz w:val="21"/>
          <w:szCs w:val="21"/>
        </w:rPr>
      </w:pPr>
    </w:p>
    <w:p w14:paraId="380693CA" w14:textId="331210A6" w:rsidR="00A81BD4" w:rsidRPr="00355E0A" w:rsidRDefault="00D050FE" w:rsidP="00F812A8">
      <w:pPr>
        <w:rPr>
          <w:rFonts w:cs="Arial"/>
          <w:b/>
          <w:sz w:val="21"/>
          <w:szCs w:val="21"/>
        </w:rPr>
      </w:pPr>
      <w:r w:rsidRPr="00355E0A">
        <w:rPr>
          <w:rFonts w:cs="Arial"/>
          <w:b/>
          <w:sz w:val="21"/>
          <w:szCs w:val="21"/>
        </w:rPr>
        <w:t xml:space="preserve">Timing and assessment aims of each </w:t>
      </w:r>
      <w:r w:rsidR="00A81BD4" w:rsidRPr="00355E0A">
        <w:rPr>
          <w:rFonts w:cs="Arial"/>
          <w:b/>
          <w:sz w:val="21"/>
          <w:szCs w:val="21"/>
        </w:rPr>
        <w:t>components</w:t>
      </w:r>
    </w:p>
    <w:p w14:paraId="6F606DA5" w14:textId="71DB4977" w:rsidR="00A81BD4" w:rsidRPr="00355E0A" w:rsidRDefault="00A81BD4" w:rsidP="00F812A8">
      <w:pPr>
        <w:rPr>
          <w:rFonts w:cs="Arial"/>
          <w:sz w:val="21"/>
          <w:szCs w:val="21"/>
        </w:rPr>
      </w:pPr>
      <w:r w:rsidRPr="00355E0A">
        <w:rPr>
          <w:rFonts w:cs="Arial"/>
          <w:sz w:val="21"/>
          <w:szCs w:val="21"/>
        </w:rPr>
        <w:t xml:space="preserve">The </w:t>
      </w:r>
      <w:r w:rsidR="00D050FE" w:rsidRPr="00355E0A">
        <w:rPr>
          <w:rFonts w:cs="Arial"/>
          <w:sz w:val="21"/>
          <w:szCs w:val="21"/>
        </w:rPr>
        <w:t>new</w:t>
      </w:r>
      <w:r w:rsidRPr="00355E0A">
        <w:rPr>
          <w:rFonts w:cs="Arial"/>
          <w:sz w:val="21"/>
          <w:szCs w:val="21"/>
        </w:rPr>
        <w:t xml:space="preserve"> structure would introduce the following </w:t>
      </w:r>
      <w:r w:rsidR="00D050FE" w:rsidRPr="00355E0A">
        <w:rPr>
          <w:rFonts w:cs="Arial"/>
          <w:sz w:val="21"/>
          <w:szCs w:val="21"/>
        </w:rPr>
        <w:t>structure and timings:</w:t>
      </w:r>
      <w:r w:rsidRPr="00355E0A">
        <w:rPr>
          <w:rFonts w:cs="Arial"/>
          <w:sz w:val="21"/>
          <w:szCs w:val="21"/>
        </w:rPr>
        <w:t xml:space="preserve"> </w:t>
      </w:r>
    </w:p>
    <w:p w14:paraId="049E3E6A" w14:textId="45CD1670" w:rsidR="00D050FE" w:rsidRPr="00355E0A" w:rsidRDefault="00D050FE" w:rsidP="00F812A8">
      <w:pPr>
        <w:rPr>
          <w:rFonts w:cs="Arial"/>
          <w:sz w:val="21"/>
          <w:szCs w:val="21"/>
        </w:rPr>
      </w:pPr>
    </w:p>
    <w:tbl>
      <w:tblPr>
        <w:tblStyle w:val="RCStable"/>
        <w:tblW w:w="0" w:type="auto"/>
        <w:jc w:val="center"/>
        <w:tblLook w:val="04A0" w:firstRow="1" w:lastRow="0" w:firstColumn="1" w:lastColumn="0" w:noHBand="0" w:noVBand="1"/>
      </w:tblPr>
      <w:tblGrid>
        <w:gridCol w:w="2263"/>
        <w:gridCol w:w="2552"/>
        <w:gridCol w:w="4201"/>
      </w:tblGrid>
      <w:tr w:rsidR="00D050FE" w:rsidRPr="00355E0A" w14:paraId="7CE83893" w14:textId="77777777" w:rsidTr="00A92957">
        <w:trPr>
          <w:cnfStyle w:val="100000000000" w:firstRow="1" w:lastRow="0" w:firstColumn="0" w:lastColumn="0" w:oddVBand="0" w:evenVBand="0" w:oddHBand="0" w:evenHBand="0" w:firstRowFirstColumn="0" w:firstRowLastColumn="0" w:lastRowFirstColumn="0" w:lastRowLastColumn="0"/>
          <w:jc w:val="center"/>
        </w:trPr>
        <w:tc>
          <w:tcPr>
            <w:tcW w:w="2263" w:type="dxa"/>
          </w:tcPr>
          <w:p w14:paraId="66E966B7" w14:textId="43C28843" w:rsidR="00D050FE" w:rsidRPr="00355E0A" w:rsidRDefault="00D050FE" w:rsidP="00F812A8">
            <w:pPr>
              <w:rPr>
                <w:rFonts w:cs="Arial"/>
                <w:sz w:val="21"/>
                <w:szCs w:val="21"/>
              </w:rPr>
            </w:pPr>
            <w:r w:rsidRPr="00355E0A">
              <w:rPr>
                <w:rFonts w:cs="Arial"/>
                <w:sz w:val="21"/>
                <w:szCs w:val="21"/>
              </w:rPr>
              <w:t>Component</w:t>
            </w:r>
          </w:p>
        </w:tc>
        <w:tc>
          <w:tcPr>
            <w:tcW w:w="2552" w:type="dxa"/>
          </w:tcPr>
          <w:p w14:paraId="2316669B" w14:textId="2C0CBAB3" w:rsidR="00D050FE" w:rsidRPr="00355E0A" w:rsidRDefault="00D050FE" w:rsidP="00F812A8">
            <w:pPr>
              <w:rPr>
                <w:rFonts w:cs="Arial"/>
                <w:sz w:val="21"/>
                <w:szCs w:val="21"/>
              </w:rPr>
            </w:pPr>
            <w:r w:rsidRPr="00355E0A">
              <w:rPr>
                <w:rFonts w:cs="Arial"/>
                <w:sz w:val="21"/>
                <w:szCs w:val="21"/>
              </w:rPr>
              <w:t>Format</w:t>
            </w:r>
          </w:p>
        </w:tc>
        <w:tc>
          <w:tcPr>
            <w:tcW w:w="4201" w:type="dxa"/>
          </w:tcPr>
          <w:p w14:paraId="2D6AFFE8" w14:textId="793B6D12" w:rsidR="00D050FE" w:rsidRPr="00355E0A" w:rsidRDefault="00D050FE" w:rsidP="00F812A8">
            <w:pPr>
              <w:rPr>
                <w:rFonts w:cs="Arial"/>
                <w:sz w:val="21"/>
                <w:szCs w:val="21"/>
              </w:rPr>
            </w:pPr>
            <w:r w:rsidRPr="00355E0A">
              <w:rPr>
                <w:rFonts w:cs="Arial"/>
                <w:sz w:val="21"/>
                <w:szCs w:val="21"/>
              </w:rPr>
              <w:t>Assessment Aims</w:t>
            </w:r>
          </w:p>
        </w:tc>
      </w:tr>
      <w:tr w:rsidR="00D050FE" w:rsidRPr="00355E0A" w14:paraId="33E7E9E3" w14:textId="77777777" w:rsidTr="00A92957">
        <w:trPr>
          <w:cnfStyle w:val="000000100000" w:firstRow="0" w:lastRow="0" w:firstColumn="0" w:lastColumn="0" w:oddVBand="0" w:evenVBand="0" w:oddHBand="1" w:evenHBand="0" w:firstRowFirstColumn="0" w:firstRowLastColumn="0" w:lastRowFirstColumn="0" w:lastRowLastColumn="0"/>
          <w:trHeight w:val="515"/>
          <w:jc w:val="center"/>
        </w:trPr>
        <w:tc>
          <w:tcPr>
            <w:tcW w:w="2263" w:type="dxa"/>
          </w:tcPr>
          <w:p w14:paraId="73CF62AD" w14:textId="398C1C04" w:rsidR="00D050FE" w:rsidRPr="00355E0A" w:rsidRDefault="00D050FE" w:rsidP="00A92957">
            <w:pPr>
              <w:rPr>
                <w:rFonts w:cs="Arial"/>
                <w:sz w:val="21"/>
                <w:szCs w:val="21"/>
              </w:rPr>
            </w:pPr>
            <w:r w:rsidRPr="00355E0A">
              <w:rPr>
                <w:rFonts w:cs="Arial"/>
                <w:sz w:val="21"/>
                <w:szCs w:val="21"/>
              </w:rPr>
              <w:t>Part 1 (unchanged)</w:t>
            </w:r>
          </w:p>
        </w:tc>
        <w:tc>
          <w:tcPr>
            <w:tcW w:w="2552" w:type="dxa"/>
          </w:tcPr>
          <w:p w14:paraId="760969AD" w14:textId="26584FD9" w:rsidR="00D050FE" w:rsidRPr="00355E0A" w:rsidRDefault="00D50E4E" w:rsidP="00D050FE">
            <w:pPr>
              <w:rPr>
                <w:rFonts w:cs="Arial"/>
                <w:sz w:val="21"/>
                <w:szCs w:val="21"/>
              </w:rPr>
            </w:pPr>
            <w:r w:rsidRPr="00355E0A">
              <w:rPr>
                <w:rFonts w:cs="Arial"/>
                <w:sz w:val="21"/>
                <w:szCs w:val="21"/>
              </w:rPr>
              <w:t>2 x 150-</w:t>
            </w:r>
            <w:r w:rsidR="00D050FE" w:rsidRPr="00355E0A">
              <w:rPr>
                <w:rFonts w:cs="Arial"/>
                <w:sz w:val="21"/>
                <w:szCs w:val="21"/>
              </w:rPr>
              <w:t xml:space="preserve">minute papers  </w:t>
            </w:r>
          </w:p>
        </w:tc>
        <w:tc>
          <w:tcPr>
            <w:tcW w:w="4201" w:type="dxa"/>
          </w:tcPr>
          <w:p w14:paraId="6228022A" w14:textId="08784131" w:rsidR="00D050FE" w:rsidRPr="00355E0A" w:rsidRDefault="00D050FE" w:rsidP="00F812A8">
            <w:pPr>
              <w:rPr>
                <w:rFonts w:cs="Arial"/>
                <w:sz w:val="21"/>
                <w:szCs w:val="21"/>
              </w:rPr>
            </w:pPr>
            <w:r w:rsidRPr="00355E0A">
              <w:rPr>
                <w:rFonts w:cs="Arial"/>
                <w:sz w:val="21"/>
                <w:szCs w:val="21"/>
              </w:rPr>
              <w:t>Applied Knowledge</w:t>
            </w:r>
          </w:p>
        </w:tc>
      </w:tr>
      <w:tr w:rsidR="00D050FE" w:rsidRPr="00355E0A" w14:paraId="4D7DA63E" w14:textId="77777777" w:rsidTr="00A92957">
        <w:trPr>
          <w:trHeight w:val="2123"/>
          <w:jc w:val="center"/>
        </w:trPr>
        <w:tc>
          <w:tcPr>
            <w:tcW w:w="2263" w:type="dxa"/>
          </w:tcPr>
          <w:p w14:paraId="63048121" w14:textId="65615CE6" w:rsidR="00D050FE" w:rsidRPr="00355E0A" w:rsidRDefault="00D050FE" w:rsidP="00F812A8">
            <w:pPr>
              <w:rPr>
                <w:rFonts w:cs="Arial"/>
                <w:sz w:val="21"/>
                <w:szCs w:val="21"/>
              </w:rPr>
            </w:pPr>
            <w:r w:rsidRPr="00355E0A">
              <w:rPr>
                <w:rFonts w:cs="Arial"/>
                <w:sz w:val="21"/>
                <w:szCs w:val="21"/>
              </w:rPr>
              <w:t>Part 2 OSCE</w:t>
            </w:r>
          </w:p>
        </w:tc>
        <w:tc>
          <w:tcPr>
            <w:tcW w:w="2552" w:type="dxa"/>
          </w:tcPr>
          <w:p w14:paraId="3EDABCC2" w14:textId="1286AB55" w:rsidR="00D050FE" w:rsidRPr="00355E0A" w:rsidRDefault="00D50E4E" w:rsidP="00F812A8">
            <w:pPr>
              <w:rPr>
                <w:rFonts w:cs="Arial"/>
                <w:sz w:val="21"/>
                <w:szCs w:val="21"/>
              </w:rPr>
            </w:pPr>
            <w:r w:rsidRPr="00355E0A">
              <w:rPr>
                <w:rFonts w:cs="Arial"/>
                <w:sz w:val="21"/>
                <w:szCs w:val="21"/>
              </w:rPr>
              <w:t>12 x 7-</w:t>
            </w:r>
            <w:r w:rsidR="00D050FE" w:rsidRPr="00355E0A">
              <w:rPr>
                <w:rFonts w:cs="Arial"/>
                <w:sz w:val="21"/>
                <w:szCs w:val="21"/>
              </w:rPr>
              <w:t>minute stations</w:t>
            </w:r>
          </w:p>
        </w:tc>
        <w:tc>
          <w:tcPr>
            <w:tcW w:w="4201" w:type="dxa"/>
          </w:tcPr>
          <w:p w14:paraId="3C7D80DB" w14:textId="77777777" w:rsidR="00D050FE" w:rsidRPr="00355E0A" w:rsidRDefault="00D050FE" w:rsidP="00D050FE">
            <w:pPr>
              <w:spacing w:line="259" w:lineRule="auto"/>
              <w:rPr>
                <w:rFonts w:cs="Arial"/>
                <w:sz w:val="21"/>
                <w:szCs w:val="21"/>
              </w:rPr>
            </w:pPr>
            <w:r w:rsidRPr="00355E0A">
              <w:rPr>
                <w:rFonts w:cs="Arial"/>
                <w:sz w:val="21"/>
                <w:szCs w:val="21"/>
              </w:rPr>
              <w:t>Applied knowledge</w:t>
            </w:r>
          </w:p>
          <w:p w14:paraId="35C513B9" w14:textId="716FB2F4" w:rsidR="00D050FE" w:rsidRPr="00355E0A" w:rsidRDefault="00D050FE" w:rsidP="00D050FE">
            <w:pPr>
              <w:spacing w:line="259" w:lineRule="auto"/>
              <w:rPr>
                <w:rFonts w:cs="Arial"/>
                <w:sz w:val="21"/>
                <w:szCs w:val="21"/>
              </w:rPr>
            </w:pPr>
            <w:r w:rsidRPr="00355E0A">
              <w:rPr>
                <w:rFonts w:cs="Arial"/>
                <w:sz w:val="21"/>
                <w:szCs w:val="21"/>
              </w:rPr>
              <w:t>Clinical skills (radiograph interpretation, prescription writing, obtaining consent etc</w:t>
            </w:r>
            <w:r w:rsidR="00A92957">
              <w:rPr>
                <w:rFonts w:cs="Arial"/>
                <w:sz w:val="21"/>
                <w:szCs w:val="21"/>
              </w:rPr>
              <w:t>.</w:t>
            </w:r>
            <w:r w:rsidRPr="00355E0A">
              <w:rPr>
                <w:rFonts w:cs="Arial"/>
                <w:sz w:val="21"/>
                <w:szCs w:val="21"/>
              </w:rPr>
              <w:t>)</w:t>
            </w:r>
          </w:p>
          <w:p w14:paraId="64926297" w14:textId="77777777" w:rsidR="00D050FE" w:rsidRPr="00355E0A" w:rsidRDefault="00D050FE" w:rsidP="00D050FE">
            <w:pPr>
              <w:spacing w:line="259" w:lineRule="auto"/>
              <w:rPr>
                <w:rFonts w:cs="Arial"/>
                <w:sz w:val="21"/>
                <w:szCs w:val="21"/>
              </w:rPr>
            </w:pPr>
            <w:r w:rsidRPr="00355E0A">
              <w:rPr>
                <w:rFonts w:cs="Arial"/>
                <w:sz w:val="21"/>
                <w:szCs w:val="21"/>
              </w:rPr>
              <w:t>Peer communication</w:t>
            </w:r>
          </w:p>
          <w:p w14:paraId="5EDD3882" w14:textId="77777777" w:rsidR="00D050FE" w:rsidRPr="00355E0A" w:rsidRDefault="00D050FE" w:rsidP="00D050FE">
            <w:pPr>
              <w:spacing w:line="259" w:lineRule="auto"/>
              <w:rPr>
                <w:rFonts w:cs="Arial"/>
                <w:sz w:val="21"/>
                <w:szCs w:val="21"/>
              </w:rPr>
            </w:pPr>
            <w:r w:rsidRPr="00355E0A">
              <w:rPr>
                <w:rFonts w:cs="Arial"/>
                <w:i/>
                <w:sz w:val="21"/>
                <w:szCs w:val="21"/>
              </w:rPr>
              <w:t xml:space="preserve">Spoken </w:t>
            </w:r>
            <w:r w:rsidRPr="00355E0A">
              <w:rPr>
                <w:rFonts w:cs="Arial"/>
                <w:sz w:val="21"/>
                <w:szCs w:val="21"/>
              </w:rPr>
              <w:t>medical emergency response</w:t>
            </w:r>
          </w:p>
          <w:p w14:paraId="67CDC484" w14:textId="77777777" w:rsidR="00D050FE" w:rsidRPr="00355E0A" w:rsidRDefault="00D050FE" w:rsidP="00D050FE">
            <w:pPr>
              <w:spacing w:line="259" w:lineRule="auto"/>
              <w:rPr>
                <w:rFonts w:cs="Arial"/>
                <w:sz w:val="21"/>
                <w:szCs w:val="21"/>
              </w:rPr>
            </w:pPr>
            <w:r w:rsidRPr="00355E0A">
              <w:rPr>
                <w:rFonts w:cs="Arial"/>
                <w:sz w:val="21"/>
                <w:szCs w:val="21"/>
              </w:rPr>
              <w:t>Oral health/population-based healthcare</w:t>
            </w:r>
          </w:p>
          <w:p w14:paraId="5BF8EE5E" w14:textId="77777777" w:rsidR="00D050FE" w:rsidRPr="00355E0A" w:rsidRDefault="00D050FE" w:rsidP="00D050FE">
            <w:pPr>
              <w:spacing w:line="259" w:lineRule="auto"/>
              <w:rPr>
                <w:rFonts w:cs="Arial"/>
                <w:sz w:val="21"/>
                <w:szCs w:val="21"/>
              </w:rPr>
            </w:pPr>
            <w:r w:rsidRPr="00355E0A">
              <w:rPr>
                <w:rFonts w:cs="Arial"/>
                <w:sz w:val="21"/>
                <w:szCs w:val="21"/>
              </w:rPr>
              <w:t>Ethical and legal principles</w:t>
            </w:r>
          </w:p>
          <w:p w14:paraId="68883C49" w14:textId="77DD73FF" w:rsidR="00D050FE" w:rsidRPr="00355E0A" w:rsidRDefault="00D050FE" w:rsidP="00D050FE">
            <w:pPr>
              <w:rPr>
                <w:rFonts w:cs="Arial"/>
                <w:sz w:val="21"/>
                <w:szCs w:val="21"/>
              </w:rPr>
            </w:pPr>
            <w:r w:rsidRPr="00355E0A">
              <w:rPr>
                <w:rFonts w:cs="Arial"/>
                <w:sz w:val="21"/>
                <w:szCs w:val="21"/>
              </w:rPr>
              <w:t>Principles of safe practice</w:t>
            </w:r>
          </w:p>
        </w:tc>
      </w:tr>
      <w:tr w:rsidR="00D050FE" w:rsidRPr="00355E0A" w14:paraId="4222A6EA" w14:textId="77777777" w:rsidTr="00A92957">
        <w:trPr>
          <w:cnfStyle w:val="000000100000" w:firstRow="0" w:lastRow="0" w:firstColumn="0" w:lastColumn="0" w:oddVBand="0" w:evenVBand="0" w:oddHBand="1" w:evenHBand="0" w:firstRowFirstColumn="0" w:firstRowLastColumn="0" w:lastRowFirstColumn="0" w:lastRowLastColumn="0"/>
          <w:trHeight w:val="1403"/>
          <w:jc w:val="center"/>
        </w:trPr>
        <w:tc>
          <w:tcPr>
            <w:tcW w:w="2263" w:type="dxa"/>
          </w:tcPr>
          <w:p w14:paraId="6C3B1B52" w14:textId="77777777" w:rsidR="00D050FE" w:rsidRPr="00355E0A" w:rsidRDefault="00D050FE" w:rsidP="00D050FE">
            <w:pPr>
              <w:rPr>
                <w:rFonts w:cs="Arial"/>
                <w:sz w:val="21"/>
                <w:szCs w:val="21"/>
              </w:rPr>
            </w:pPr>
            <w:r w:rsidRPr="00355E0A">
              <w:rPr>
                <w:rFonts w:cs="Arial"/>
                <w:sz w:val="21"/>
                <w:szCs w:val="21"/>
              </w:rPr>
              <w:t>Part 2 Unseen Cases</w:t>
            </w:r>
          </w:p>
          <w:p w14:paraId="3F2D9E2B" w14:textId="0D65DDF0" w:rsidR="00D050FE" w:rsidRPr="00355E0A" w:rsidRDefault="00D050FE" w:rsidP="00D050FE">
            <w:pPr>
              <w:rPr>
                <w:rFonts w:cs="Arial"/>
                <w:sz w:val="21"/>
                <w:szCs w:val="21"/>
              </w:rPr>
            </w:pPr>
            <w:r w:rsidRPr="00355E0A">
              <w:rPr>
                <w:rFonts w:cs="Arial"/>
                <w:sz w:val="21"/>
                <w:szCs w:val="21"/>
              </w:rPr>
              <w:t>(unchanged)</w:t>
            </w:r>
          </w:p>
        </w:tc>
        <w:tc>
          <w:tcPr>
            <w:tcW w:w="2552" w:type="dxa"/>
          </w:tcPr>
          <w:p w14:paraId="5419B3EF" w14:textId="39959965" w:rsidR="00D050FE" w:rsidRPr="00355E0A" w:rsidRDefault="00D50E4E" w:rsidP="00D050FE">
            <w:pPr>
              <w:rPr>
                <w:rFonts w:cs="Arial"/>
                <w:sz w:val="21"/>
                <w:szCs w:val="21"/>
              </w:rPr>
            </w:pPr>
            <w:r w:rsidRPr="00355E0A">
              <w:rPr>
                <w:rFonts w:cs="Arial"/>
                <w:sz w:val="21"/>
                <w:szCs w:val="21"/>
              </w:rPr>
              <w:t>4 x 30-</w:t>
            </w:r>
            <w:r w:rsidR="00D050FE" w:rsidRPr="00355E0A">
              <w:rPr>
                <w:rFonts w:cs="Arial"/>
                <w:sz w:val="21"/>
                <w:szCs w:val="21"/>
              </w:rPr>
              <w:t>minute cases</w:t>
            </w:r>
          </w:p>
        </w:tc>
        <w:tc>
          <w:tcPr>
            <w:tcW w:w="4201" w:type="dxa"/>
          </w:tcPr>
          <w:p w14:paraId="7AEF4C4B" w14:textId="77777777" w:rsidR="00D050FE" w:rsidRPr="00355E0A" w:rsidRDefault="00D050FE" w:rsidP="00D050FE">
            <w:pPr>
              <w:spacing w:line="259" w:lineRule="auto"/>
              <w:rPr>
                <w:rFonts w:cs="Arial"/>
                <w:sz w:val="21"/>
                <w:szCs w:val="21"/>
              </w:rPr>
            </w:pPr>
            <w:r w:rsidRPr="00355E0A">
              <w:rPr>
                <w:rFonts w:cs="Arial"/>
                <w:sz w:val="21"/>
                <w:szCs w:val="21"/>
              </w:rPr>
              <w:t>History taking</w:t>
            </w:r>
          </w:p>
          <w:p w14:paraId="494ECB70" w14:textId="77777777" w:rsidR="00D050FE" w:rsidRPr="00355E0A" w:rsidRDefault="00D050FE" w:rsidP="00D050FE">
            <w:pPr>
              <w:spacing w:line="259" w:lineRule="auto"/>
              <w:rPr>
                <w:rFonts w:cs="Arial"/>
                <w:sz w:val="21"/>
                <w:szCs w:val="21"/>
              </w:rPr>
            </w:pPr>
            <w:r w:rsidRPr="00355E0A">
              <w:rPr>
                <w:rFonts w:cs="Arial"/>
                <w:sz w:val="21"/>
                <w:szCs w:val="21"/>
              </w:rPr>
              <w:t>Investigations</w:t>
            </w:r>
          </w:p>
          <w:p w14:paraId="6EDF5AA1" w14:textId="77777777" w:rsidR="00D050FE" w:rsidRPr="00355E0A" w:rsidRDefault="00D050FE" w:rsidP="00D050FE">
            <w:pPr>
              <w:spacing w:line="259" w:lineRule="auto"/>
              <w:rPr>
                <w:rFonts w:cs="Arial"/>
                <w:sz w:val="21"/>
                <w:szCs w:val="21"/>
              </w:rPr>
            </w:pPr>
            <w:r w:rsidRPr="00355E0A">
              <w:rPr>
                <w:rFonts w:cs="Arial"/>
                <w:sz w:val="21"/>
                <w:szCs w:val="21"/>
              </w:rPr>
              <w:t>Diagnosis</w:t>
            </w:r>
          </w:p>
          <w:p w14:paraId="09A4D59E" w14:textId="77777777" w:rsidR="00D050FE" w:rsidRPr="00355E0A" w:rsidRDefault="00D050FE" w:rsidP="00D050FE">
            <w:pPr>
              <w:spacing w:line="259" w:lineRule="auto"/>
              <w:rPr>
                <w:rFonts w:cs="Arial"/>
                <w:sz w:val="21"/>
                <w:szCs w:val="21"/>
              </w:rPr>
            </w:pPr>
            <w:r w:rsidRPr="00355E0A">
              <w:rPr>
                <w:rFonts w:cs="Arial"/>
                <w:sz w:val="21"/>
                <w:szCs w:val="21"/>
              </w:rPr>
              <w:t>Treatment planning</w:t>
            </w:r>
          </w:p>
          <w:p w14:paraId="7918A945" w14:textId="13A3BD15" w:rsidR="00D050FE" w:rsidRPr="00355E0A" w:rsidRDefault="00D050FE" w:rsidP="00D050FE">
            <w:pPr>
              <w:rPr>
                <w:rFonts w:cs="Arial"/>
                <w:sz w:val="21"/>
                <w:szCs w:val="21"/>
              </w:rPr>
            </w:pPr>
            <w:r w:rsidRPr="00355E0A">
              <w:rPr>
                <w:rFonts w:cs="Arial"/>
                <w:sz w:val="21"/>
                <w:szCs w:val="21"/>
              </w:rPr>
              <w:t>Patient and peer communication</w:t>
            </w:r>
          </w:p>
        </w:tc>
      </w:tr>
      <w:tr w:rsidR="00D050FE" w:rsidRPr="00355E0A" w14:paraId="0B47F9B5" w14:textId="77777777" w:rsidTr="00A92957">
        <w:trPr>
          <w:trHeight w:val="417"/>
          <w:jc w:val="center"/>
        </w:trPr>
        <w:tc>
          <w:tcPr>
            <w:tcW w:w="2263" w:type="dxa"/>
          </w:tcPr>
          <w:p w14:paraId="0FD0DEF6" w14:textId="4EDBCADA" w:rsidR="00D050FE" w:rsidRPr="00355E0A" w:rsidRDefault="00D050FE" w:rsidP="00D050FE">
            <w:pPr>
              <w:rPr>
                <w:rFonts w:cs="Arial"/>
                <w:sz w:val="21"/>
                <w:szCs w:val="21"/>
              </w:rPr>
            </w:pPr>
            <w:r w:rsidRPr="00355E0A">
              <w:rPr>
                <w:rFonts w:cs="Arial"/>
                <w:sz w:val="21"/>
                <w:szCs w:val="21"/>
              </w:rPr>
              <w:t>Part 3</w:t>
            </w:r>
          </w:p>
        </w:tc>
        <w:tc>
          <w:tcPr>
            <w:tcW w:w="2552" w:type="dxa"/>
          </w:tcPr>
          <w:p w14:paraId="5B06375E" w14:textId="277016EC" w:rsidR="00D050FE" w:rsidRPr="00355E0A" w:rsidRDefault="00D50E4E" w:rsidP="00D050FE">
            <w:pPr>
              <w:rPr>
                <w:rFonts w:cs="Arial"/>
                <w:sz w:val="21"/>
                <w:szCs w:val="21"/>
              </w:rPr>
            </w:pPr>
            <w:r w:rsidRPr="00355E0A">
              <w:rPr>
                <w:rFonts w:cs="Arial"/>
                <w:sz w:val="21"/>
                <w:szCs w:val="21"/>
              </w:rPr>
              <w:t>180-minute assessment</w:t>
            </w:r>
          </w:p>
        </w:tc>
        <w:tc>
          <w:tcPr>
            <w:tcW w:w="4201" w:type="dxa"/>
          </w:tcPr>
          <w:p w14:paraId="1886ED3D" w14:textId="37C8818A" w:rsidR="00D050FE" w:rsidRPr="00355E0A" w:rsidRDefault="00D050FE" w:rsidP="00D050FE">
            <w:pPr>
              <w:rPr>
                <w:rFonts w:cs="Arial"/>
                <w:sz w:val="21"/>
                <w:szCs w:val="21"/>
              </w:rPr>
            </w:pPr>
            <w:r w:rsidRPr="00355E0A">
              <w:rPr>
                <w:rFonts w:cs="Arial"/>
                <w:sz w:val="21"/>
                <w:szCs w:val="21"/>
              </w:rPr>
              <w:t>Practical clinical dental skills</w:t>
            </w:r>
          </w:p>
        </w:tc>
      </w:tr>
    </w:tbl>
    <w:p w14:paraId="67E2ADC9" w14:textId="77777777" w:rsidR="00D050FE" w:rsidRPr="00355E0A" w:rsidRDefault="00D050FE" w:rsidP="00F812A8">
      <w:pPr>
        <w:rPr>
          <w:rFonts w:cs="Arial"/>
          <w:sz w:val="21"/>
          <w:szCs w:val="21"/>
        </w:rPr>
      </w:pPr>
    </w:p>
    <w:p w14:paraId="12DCDA38" w14:textId="07A5C948" w:rsidR="00A81BD4" w:rsidRPr="00355E0A" w:rsidRDefault="00861581" w:rsidP="00F812A8">
      <w:pPr>
        <w:rPr>
          <w:rFonts w:cs="Arial"/>
          <w:sz w:val="21"/>
          <w:szCs w:val="21"/>
        </w:rPr>
      </w:pPr>
      <w:r w:rsidRPr="00355E0A">
        <w:rPr>
          <w:rFonts w:cs="Arial"/>
          <w:sz w:val="21"/>
          <w:szCs w:val="21"/>
        </w:rPr>
        <w:t xml:space="preserve">Each of these assessment aims will continue to be applied to the coverage of </w:t>
      </w:r>
      <w:r w:rsidR="00C02C2D" w:rsidRPr="00355E0A">
        <w:rPr>
          <w:rFonts w:cs="Arial"/>
          <w:sz w:val="21"/>
          <w:szCs w:val="21"/>
        </w:rPr>
        <w:t xml:space="preserve">the </w:t>
      </w:r>
      <w:r w:rsidR="00C02C2D" w:rsidRPr="00355E0A">
        <w:rPr>
          <w:rFonts w:cs="Arial"/>
          <w:i/>
          <w:sz w:val="21"/>
          <w:szCs w:val="21"/>
        </w:rPr>
        <w:t xml:space="preserve">Preparing for Practice </w:t>
      </w:r>
      <w:r w:rsidR="00C02C2D" w:rsidRPr="00355E0A">
        <w:rPr>
          <w:rFonts w:cs="Arial"/>
          <w:sz w:val="21"/>
          <w:szCs w:val="21"/>
        </w:rPr>
        <w:t xml:space="preserve">curriculum. </w:t>
      </w:r>
    </w:p>
    <w:p w14:paraId="3DAC45D9" w14:textId="77777777" w:rsidR="00F812A8" w:rsidRPr="00355E0A" w:rsidRDefault="00F812A8" w:rsidP="00964ED2">
      <w:pPr>
        <w:rPr>
          <w:rFonts w:cs="Arial"/>
          <w:sz w:val="21"/>
          <w:szCs w:val="21"/>
        </w:rPr>
      </w:pPr>
    </w:p>
    <w:p w14:paraId="12CD92B2" w14:textId="15F6C3BF" w:rsidR="004433D9" w:rsidRPr="00355E0A" w:rsidRDefault="004433D9" w:rsidP="004433D9">
      <w:pPr>
        <w:rPr>
          <w:rFonts w:cs="Arial"/>
          <w:b/>
          <w:sz w:val="21"/>
          <w:szCs w:val="21"/>
        </w:rPr>
      </w:pPr>
      <w:r w:rsidRPr="00355E0A">
        <w:rPr>
          <w:rFonts w:cs="Arial"/>
          <w:b/>
          <w:sz w:val="21"/>
          <w:szCs w:val="21"/>
        </w:rPr>
        <w:t>Attempt Limits and Schedule of Exam Attempts</w:t>
      </w:r>
    </w:p>
    <w:p w14:paraId="4E884AD5" w14:textId="5614A4A4" w:rsidR="004433D9" w:rsidRPr="00355E0A" w:rsidRDefault="004433D9" w:rsidP="004433D9">
      <w:pPr>
        <w:rPr>
          <w:rFonts w:cs="Arial"/>
          <w:sz w:val="21"/>
          <w:szCs w:val="21"/>
        </w:rPr>
      </w:pPr>
      <w:r w:rsidRPr="00355E0A">
        <w:rPr>
          <w:rFonts w:cs="Arial"/>
          <w:sz w:val="21"/>
          <w:szCs w:val="21"/>
        </w:rPr>
        <w:t xml:space="preserve">Currently, candidates are required to pass the Part 2 within five years of passing the Part 1, and are permitted four attempts at each part of the examination. With the revised structure of the examination, while the overall currency period of five years between passing the Part 1 and completing the examination should not change, the number of attempts permitted </w:t>
      </w:r>
      <w:r w:rsidR="00861581" w:rsidRPr="00355E0A">
        <w:rPr>
          <w:rFonts w:cs="Arial"/>
          <w:sz w:val="21"/>
          <w:szCs w:val="21"/>
        </w:rPr>
        <w:t>will</w:t>
      </w:r>
      <w:r w:rsidRPr="00355E0A">
        <w:rPr>
          <w:rFonts w:cs="Arial"/>
          <w:sz w:val="21"/>
          <w:szCs w:val="21"/>
        </w:rPr>
        <w:t xml:space="preserve"> be revised as indicated in the table below:</w:t>
      </w:r>
    </w:p>
    <w:p w14:paraId="73817454" w14:textId="77777777" w:rsidR="004433D9" w:rsidRPr="00355E0A" w:rsidRDefault="004433D9" w:rsidP="004433D9">
      <w:pPr>
        <w:rPr>
          <w:rFonts w:cs="Arial"/>
          <w:sz w:val="21"/>
          <w:szCs w:val="21"/>
          <w:u w:val="single"/>
        </w:rPr>
      </w:pPr>
    </w:p>
    <w:tbl>
      <w:tblPr>
        <w:tblStyle w:val="RCStable"/>
        <w:tblW w:w="0" w:type="auto"/>
        <w:jc w:val="center"/>
        <w:tblLook w:val="04A0" w:firstRow="1" w:lastRow="0" w:firstColumn="1" w:lastColumn="0" w:noHBand="0" w:noVBand="1"/>
      </w:tblPr>
      <w:tblGrid>
        <w:gridCol w:w="2547"/>
        <w:gridCol w:w="2268"/>
        <w:gridCol w:w="1829"/>
        <w:gridCol w:w="2093"/>
      </w:tblGrid>
      <w:tr w:rsidR="004433D9" w:rsidRPr="00355E0A" w14:paraId="1B81D404" w14:textId="77777777" w:rsidTr="5438C997">
        <w:trPr>
          <w:cnfStyle w:val="100000000000" w:firstRow="1" w:lastRow="0" w:firstColumn="0" w:lastColumn="0" w:oddVBand="0" w:evenVBand="0" w:oddHBand="0" w:evenHBand="0" w:firstRowFirstColumn="0" w:firstRowLastColumn="0" w:lastRowFirstColumn="0" w:lastRowLastColumn="0"/>
          <w:jc w:val="center"/>
        </w:trPr>
        <w:tc>
          <w:tcPr>
            <w:tcW w:w="2547" w:type="dxa"/>
          </w:tcPr>
          <w:p w14:paraId="4858A729" w14:textId="19154F11" w:rsidR="004433D9" w:rsidRPr="00355E0A" w:rsidRDefault="004433D9" w:rsidP="00473A4C">
            <w:pPr>
              <w:rPr>
                <w:rFonts w:cs="Arial"/>
                <w:sz w:val="21"/>
                <w:szCs w:val="21"/>
              </w:rPr>
            </w:pPr>
            <w:r w:rsidRPr="00355E0A">
              <w:rPr>
                <w:rFonts w:cs="Arial"/>
                <w:sz w:val="21"/>
                <w:szCs w:val="21"/>
              </w:rPr>
              <w:t xml:space="preserve">Examination </w:t>
            </w:r>
            <w:r w:rsidR="00473A4C" w:rsidRPr="00355E0A">
              <w:rPr>
                <w:rFonts w:cs="Arial"/>
                <w:sz w:val="21"/>
                <w:szCs w:val="21"/>
              </w:rPr>
              <w:t>Component</w:t>
            </w:r>
            <w:r w:rsidRPr="00355E0A">
              <w:rPr>
                <w:rFonts w:cs="Arial"/>
                <w:sz w:val="21"/>
                <w:szCs w:val="21"/>
              </w:rPr>
              <w:t xml:space="preserve"> </w:t>
            </w:r>
          </w:p>
        </w:tc>
        <w:tc>
          <w:tcPr>
            <w:tcW w:w="2268" w:type="dxa"/>
          </w:tcPr>
          <w:p w14:paraId="0C11B86C" w14:textId="77777777" w:rsidR="004433D9" w:rsidRPr="00355E0A" w:rsidRDefault="004433D9" w:rsidP="004433D9">
            <w:pPr>
              <w:rPr>
                <w:rFonts w:cs="Arial"/>
                <w:sz w:val="21"/>
                <w:szCs w:val="21"/>
              </w:rPr>
            </w:pPr>
            <w:r w:rsidRPr="00355E0A">
              <w:rPr>
                <w:rFonts w:cs="Arial"/>
                <w:sz w:val="21"/>
                <w:szCs w:val="21"/>
              </w:rPr>
              <w:t>Number of Attempts</w:t>
            </w:r>
          </w:p>
        </w:tc>
        <w:tc>
          <w:tcPr>
            <w:tcW w:w="1829" w:type="dxa"/>
          </w:tcPr>
          <w:p w14:paraId="3922E7D0" w14:textId="796FDB5E" w:rsidR="004433D9" w:rsidRPr="00355E0A" w:rsidRDefault="004433D9" w:rsidP="004433D9">
            <w:pPr>
              <w:rPr>
                <w:rFonts w:cs="Arial"/>
                <w:sz w:val="21"/>
                <w:szCs w:val="21"/>
              </w:rPr>
            </w:pPr>
            <w:r w:rsidRPr="00355E0A">
              <w:rPr>
                <w:rFonts w:cs="Arial"/>
                <w:sz w:val="21"/>
                <w:szCs w:val="21"/>
              </w:rPr>
              <w:t>Currency of Pass</w:t>
            </w:r>
          </w:p>
        </w:tc>
        <w:tc>
          <w:tcPr>
            <w:tcW w:w="2093" w:type="dxa"/>
          </w:tcPr>
          <w:p w14:paraId="2B98EC56" w14:textId="3C324D0F" w:rsidR="004433D9" w:rsidRPr="00355E0A" w:rsidRDefault="004433D9" w:rsidP="004433D9">
            <w:pPr>
              <w:rPr>
                <w:rFonts w:cs="Arial"/>
                <w:sz w:val="21"/>
                <w:szCs w:val="21"/>
              </w:rPr>
            </w:pPr>
            <w:r w:rsidRPr="5438C997">
              <w:rPr>
                <w:rFonts w:cs="Arial"/>
                <w:sz w:val="21"/>
                <w:szCs w:val="21"/>
              </w:rPr>
              <w:t>Projected Number of Diets Per Year</w:t>
            </w:r>
          </w:p>
        </w:tc>
      </w:tr>
      <w:tr w:rsidR="004433D9" w:rsidRPr="00355E0A" w14:paraId="59D91408" w14:textId="77777777" w:rsidTr="5438C997">
        <w:trPr>
          <w:cnfStyle w:val="000000100000" w:firstRow="0" w:lastRow="0" w:firstColumn="0" w:lastColumn="0" w:oddVBand="0" w:evenVBand="0" w:oddHBand="1" w:evenHBand="0" w:firstRowFirstColumn="0" w:firstRowLastColumn="0" w:lastRowFirstColumn="0" w:lastRowLastColumn="0"/>
          <w:jc w:val="center"/>
        </w:trPr>
        <w:tc>
          <w:tcPr>
            <w:tcW w:w="2547" w:type="dxa"/>
          </w:tcPr>
          <w:p w14:paraId="5EAF6981" w14:textId="53EA7E54" w:rsidR="004433D9" w:rsidRPr="00355E0A" w:rsidRDefault="00473A4C" w:rsidP="004433D9">
            <w:pPr>
              <w:rPr>
                <w:rFonts w:cs="Arial"/>
                <w:sz w:val="21"/>
                <w:szCs w:val="21"/>
              </w:rPr>
            </w:pPr>
            <w:r w:rsidRPr="00355E0A">
              <w:rPr>
                <w:rFonts w:cs="Arial"/>
                <w:sz w:val="21"/>
                <w:szCs w:val="21"/>
              </w:rPr>
              <w:t>Part 1</w:t>
            </w:r>
          </w:p>
        </w:tc>
        <w:tc>
          <w:tcPr>
            <w:tcW w:w="2268" w:type="dxa"/>
          </w:tcPr>
          <w:p w14:paraId="0A6F61B8" w14:textId="77777777" w:rsidR="004433D9" w:rsidRPr="00355E0A" w:rsidRDefault="004433D9" w:rsidP="004433D9">
            <w:pPr>
              <w:rPr>
                <w:rFonts w:cs="Arial"/>
                <w:sz w:val="21"/>
                <w:szCs w:val="21"/>
              </w:rPr>
            </w:pPr>
            <w:r w:rsidRPr="00355E0A">
              <w:rPr>
                <w:rFonts w:cs="Arial"/>
                <w:sz w:val="21"/>
                <w:szCs w:val="21"/>
              </w:rPr>
              <w:t>4</w:t>
            </w:r>
          </w:p>
        </w:tc>
        <w:tc>
          <w:tcPr>
            <w:tcW w:w="1829" w:type="dxa"/>
          </w:tcPr>
          <w:p w14:paraId="79CDD37D" w14:textId="3382298D" w:rsidR="004433D9" w:rsidRPr="00355E0A" w:rsidRDefault="00242C4A" w:rsidP="007C272B">
            <w:pPr>
              <w:rPr>
                <w:rFonts w:cs="Arial"/>
                <w:sz w:val="21"/>
                <w:szCs w:val="21"/>
              </w:rPr>
            </w:pPr>
            <w:r w:rsidRPr="00355E0A">
              <w:rPr>
                <w:rFonts w:cs="Arial"/>
                <w:sz w:val="21"/>
                <w:szCs w:val="21"/>
              </w:rPr>
              <w:t>5 years</w:t>
            </w:r>
          </w:p>
        </w:tc>
        <w:tc>
          <w:tcPr>
            <w:tcW w:w="2093" w:type="dxa"/>
          </w:tcPr>
          <w:p w14:paraId="7883264B" w14:textId="0B23DC79" w:rsidR="004433D9" w:rsidRPr="00355E0A" w:rsidRDefault="004433D9" w:rsidP="004433D9">
            <w:pPr>
              <w:rPr>
                <w:rFonts w:cs="Arial"/>
                <w:sz w:val="21"/>
                <w:szCs w:val="21"/>
              </w:rPr>
            </w:pPr>
            <w:r w:rsidRPr="00355E0A">
              <w:rPr>
                <w:rFonts w:cs="Arial"/>
                <w:sz w:val="21"/>
                <w:szCs w:val="21"/>
              </w:rPr>
              <w:t>2</w:t>
            </w:r>
          </w:p>
        </w:tc>
      </w:tr>
      <w:tr w:rsidR="004433D9" w:rsidRPr="00355E0A" w14:paraId="0C648EB7" w14:textId="77777777" w:rsidTr="5438C997">
        <w:trPr>
          <w:jc w:val="center"/>
        </w:trPr>
        <w:tc>
          <w:tcPr>
            <w:tcW w:w="2547" w:type="dxa"/>
          </w:tcPr>
          <w:p w14:paraId="77E262A6" w14:textId="28EC1425" w:rsidR="004433D9" w:rsidRPr="00355E0A" w:rsidRDefault="00473A4C" w:rsidP="004433D9">
            <w:pPr>
              <w:rPr>
                <w:rFonts w:cs="Arial"/>
                <w:sz w:val="21"/>
                <w:szCs w:val="21"/>
              </w:rPr>
            </w:pPr>
            <w:r w:rsidRPr="00355E0A">
              <w:rPr>
                <w:rFonts w:cs="Arial"/>
                <w:sz w:val="21"/>
                <w:szCs w:val="21"/>
              </w:rPr>
              <w:t xml:space="preserve">Part </w:t>
            </w:r>
            <w:r w:rsidR="004433D9" w:rsidRPr="00355E0A">
              <w:rPr>
                <w:rFonts w:cs="Arial"/>
                <w:sz w:val="21"/>
                <w:szCs w:val="21"/>
              </w:rPr>
              <w:t>2</w:t>
            </w:r>
          </w:p>
        </w:tc>
        <w:tc>
          <w:tcPr>
            <w:tcW w:w="2268" w:type="dxa"/>
          </w:tcPr>
          <w:p w14:paraId="42EF8226" w14:textId="77777777" w:rsidR="004433D9" w:rsidRPr="00355E0A" w:rsidRDefault="004433D9" w:rsidP="004433D9">
            <w:pPr>
              <w:rPr>
                <w:rFonts w:cs="Arial"/>
                <w:sz w:val="21"/>
                <w:szCs w:val="21"/>
              </w:rPr>
            </w:pPr>
            <w:r w:rsidRPr="00355E0A">
              <w:rPr>
                <w:rFonts w:cs="Arial"/>
                <w:sz w:val="21"/>
                <w:szCs w:val="21"/>
              </w:rPr>
              <w:t>3</w:t>
            </w:r>
          </w:p>
        </w:tc>
        <w:tc>
          <w:tcPr>
            <w:tcW w:w="1829" w:type="dxa"/>
          </w:tcPr>
          <w:p w14:paraId="2D4B0FC1" w14:textId="04F11B85" w:rsidR="004433D9" w:rsidRPr="00355E0A" w:rsidRDefault="00242C4A" w:rsidP="007C272B">
            <w:pPr>
              <w:rPr>
                <w:rFonts w:cs="Arial"/>
                <w:sz w:val="21"/>
                <w:szCs w:val="21"/>
              </w:rPr>
            </w:pPr>
            <w:r w:rsidRPr="00355E0A">
              <w:rPr>
                <w:rFonts w:cs="Arial"/>
                <w:sz w:val="21"/>
                <w:szCs w:val="21"/>
              </w:rPr>
              <w:t>n/a</w:t>
            </w:r>
          </w:p>
        </w:tc>
        <w:tc>
          <w:tcPr>
            <w:tcW w:w="2093" w:type="dxa"/>
          </w:tcPr>
          <w:p w14:paraId="55970841" w14:textId="683751D4" w:rsidR="004433D9" w:rsidRPr="00355E0A" w:rsidRDefault="004433D9" w:rsidP="004433D9">
            <w:pPr>
              <w:rPr>
                <w:rFonts w:cs="Arial"/>
                <w:sz w:val="21"/>
                <w:szCs w:val="21"/>
              </w:rPr>
            </w:pPr>
            <w:r w:rsidRPr="00355E0A">
              <w:rPr>
                <w:rFonts w:cs="Arial"/>
                <w:sz w:val="21"/>
                <w:szCs w:val="21"/>
              </w:rPr>
              <w:t>2</w:t>
            </w:r>
          </w:p>
        </w:tc>
      </w:tr>
      <w:tr w:rsidR="004433D9" w:rsidRPr="00355E0A" w14:paraId="6B49BC7B" w14:textId="77777777" w:rsidTr="5438C997">
        <w:trPr>
          <w:cnfStyle w:val="000000100000" w:firstRow="0" w:lastRow="0" w:firstColumn="0" w:lastColumn="0" w:oddVBand="0" w:evenVBand="0" w:oddHBand="1" w:evenHBand="0" w:firstRowFirstColumn="0" w:firstRowLastColumn="0" w:lastRowFirstColumn="0" w:lastRowLastColumn="0"/>
          <w:jc w:val="center"/>
        </w:trPr>
        <w:tc>
          <w:tcPr>
            <w:tcW w:w="2547" w:type="dxa"/>
          </w:tcPr>
          <w:p w14:paraId="08C3C0AD" w14:textId="7C852949" w:rsidR="004433D9" w:rsidRPr="00355E0A" w:rsidRDefault="00473A4C" w:rsidP="004433D9">
            <w:pPr>
              <w:rPr>
                <w:rFonts w:cs="Arial"/>
                <w:sz w:val="21"/>
                <w:szCs w:val="21"/>
              </w:rPr>
            </w:pPr>
            <w:r w:rsidRPr="00355E0A">
              <w:rPr>
                <w:rFonts w:cs="Arial"/>
                <w:sz w:val="21"/>
                <w:szCs w:val="21"/>
              </w:rPr>
              <w:t xml:space="preserve">Part </w:t>
            </w:r>
            <w:r w:rsidR="004433D9" w:rsidRPr="00355E0A">
              <w:rPr>
                <w:rFonts w:cs="Arial"/>
                <w:sz w:val="21"/>
                <w:szCs w:val="21"/>
              </w:rPr>
              <w:t>3</w:t>
            </w:r>
          </w:p>
        </w:tc>
        <w:tc>
          <w:tcPr>
            <w:tcW w:w="2268" w:type="dxa"/>
          </w:tcPr>
          <w:p w14:paraId="58C3572E" w14:textId="77777777" w:rsidR="004433D9" w:rsidRPr="00355E0A" w:rsidRDefault="004433D9" w:rsidP="004433D9">
            <w:pPr>
              <w:rPr>
                <w:rFonts w:cs="Arial"/>
                <w:sz w:val="21"/>
                <w:szCs w:val="21"/>
              </w:rPr>
            </w:pPr>
            <w:r w:rsidRPr="00355E0A">
              <w:rPr>
                <w:rFonts w:cs="Arial"/>
                <w:sz w:val="21"/>
                <w:szCs w:val="21"/>
              </w:rPr>
              <w:t>3</w:t>
            </w:r>
          </w:p>
        </w:tc>
        <w:tc>
          <w:tcPr>
            <w:tcW w:w="1829" w:type="dxa"/>
          </w:tcPr>
          <w:p w14:paraId="53340D23" w14:textId="3A24FCDA" w:rsidR="004433D9" w:rsidRPr="00355E0A" w:rsidRDefault="004433D9" w:rsidP="004433D9">
            <w:pPr>
              <w:rPr>
                <w:rFonts w:cs="Arial"/>
                <w:sz w:val="21"/>
                <w:szCs w:val="21"/>
              </w:rPr>
            </w:pPr>
            <w:r w:rsidRPr="00355E0A">
              <w:rPr>
                <w:rFonts w:cs="Arial"/>
                <w:sz w:val="21"/>
                <w:szCs w:val="21"/>
              </w:rPr>
              <w:t>n/a</w:t>
            </w:r>
          </w:p>
        </w:tc>
        <w:tc>
          <w:tcPr>
            <w:tcW w:w="2093" w:type="dxa"/>
          </w:tcPr>
          <w:p w14:paraId="79B5F140" w14:textId="33A81B82" w:rsidR="004433D9" w:rsidRPr="00355E0A" w:rsidRDefault="004433D9" w:rsidP="004433D9">
            <w:pPr>
              <w:rPr>
                <w:rFonts w:cs="Arial"/>
                <w:sz w:val="21"/>
                <w:szCs w:val="21"/>
              </w:rPr>
            </w:pPr>
            <w:r w:rsidRPr="00355E0A">
              <w:rPr>
                <w:rFonts w:cs="Arial"/>
                <w:sz w:val="21"/>
                <w:szCs w:val="21"/>
              </w:rPr>
              <w:t>3</w:t>
            </w:r>
          </w:p>
        </w:tc>
      </w:tr>
    </w:tbl>
    <w:p w14:paraId="1C692D61" w14:textId="77777777" w:rsidR="004433D9" w:rsidRPr="00355E0A" w:rsidRDefault="004433D9" w:rsidP="004433D9">
      <w:pPr>
        <w:rPr>
          <w:rFonts w:cs="Arial"/>
          <w:sz w:val="21"/>
          <w:szCs w:val="21"/>
        </w:rPr>
      </w:pPr>
    </w:p>
    <w:p w14:paraId="786407BA" w14:textId="320A2198" w:rsidR="00053C46" w:rsidRPr="00A92957" w:rsidRDefault="002E1187" w:rsidP="00D56ED1">
      <w:pPr>
        <w:rPr>
          <w:rFonts w:cs="Arial"/>
          <w:sz w:val="21"/>
          <w:szCs w:val="21"/>
        </w:rPr>
      </w:pPr>
      <w:r w:rsidRPr="00A92957">
        <w:rPr>
          <w:rFonts w:cs="Arial"/>
          <w:sz w:val="21"/>
          <w:szCs w:val="21"/>
        </w:rPr>
        <w:t xml:space="preserve">Due to no Part 2 diets run in the last two years, the </w:t>
      </w:r>
      <w:r w:rsidRPr="00A92957">
        <w:rPr>
          <w:rFonts w:cs="Arial"/>
          <w:b/>
          <w:sz w:val="21"/>
          <w:szCs w:val="21"/>
        </w:rPr>
        <w:t>overall currency period of 5 years will not count for 2020 and 2021</w:t>
      </w:r>
      <w:r w:rsidRPr="00A92957">
        <w:rPr>
          <w:rFonts w:cs="Arial"/>
          <w:sz w:val="21"/>
          <w:szCs w:val="21"/>
        </w:rPr>
        <w:t>. This means that the candidates who passed the Part 1 in 2017, will have until the end of 2024 to pass the Part 2 and 3.</w:t>
      </w:r>
    </w:p>
    <w:p w14:paraId="49B7A21B" w14:textId="064F84C5" w:rsidR="002E1187" w:rsidRDefault="002E1187" w:rsidP="00D56ED1">
      <w:pPr>
        <w:rPr>
          <w:rFonts w:cs="Arial"/>
          <w:b/>
          <w:sz w:val="21"/>
          <w:szCs w:val="21"/>
        </w:rPr>
      </w:pPr>
      <w:bookmarkStart w:id="0" w:name="_GoBack"/>
      <w:bookmarkEnd w:id="0"/>
    </w:p>
    <w:p w14:paraId="33A5337D" w14:textId="77777777" w:rsidR="00A92957" w:rsidRDefault="00A92957" w:rsidP="00D56ED1">
      <w:pPr>
        <w:rPr>
          <w:rFonts w:cs="Arial"/>
          <w:b/>
          <w:sz w:val="21"/>
          <w:szCs w:val="21"/>
        </w:rPr>
      </w:pPr>
    </w:p>
    <w:p w14:paraId="37FF3DE7" w14:textId="47CF57B1" w:rsidR="00D56ED1" w:rsidRPr="00355E0A" w:rsidRDefault="007C272B" w:rsidP="00D56ED1">
      <w:pPr>
        <w:rPr>
          <w:rFonts w:cs="Arial"/>
          <w:b/>
          <w:sz w:val="21"/>
          <w:szCs w:val="21"/>
        </w:rPr>
      </w:pPr>
      <w:r w:rsidRPr="00355E0A">
        <w:rPr>
          <w:rFonts w:cs="Arial"/>
          <w:b/>
          <w:sz w:val="21"/>
          <w:szCs w:val="21"/>
        </w:rPr>
        <w:t>Transition</w:t>
      </w:r>
      <w:r w:rsidR="00CD3A94" w:rsidRPr="00355E0A">
        <w:rPr>
          <w:rFonts w:cs="Arial"/>
          <w:b/>
          <w:sz w:val="21"/>
          <w:szCs w:val="21"/>
        </w:rPr>
        <w:t>al Arrangements for Existing LDS Part 2 Candidates</w:t>
      </w:r>
    </w:p>
    <w:p w14:paraId="43D56618" w14:textId="0E9BB3DB" w:rsidR="00861581" w:rsidRPr="00355E0A" w:rsidRDefault="00CD3A94" w:rsidP="00D56ED1">
      <w:pPr>
        <w:rPr>
          <w:rFonts w:cs="Arial"/>
          <w:sz w:val="21"/>
          <w:szCs w:val="21"/>
        </w:rPr>
      </w:pPr>
      <w:r w:rsidRPr="00355E0A">
        <w:rPr>
          <w:rFonts w:cs="Arial"/>
          <w:sz w:val="21"/>
          <w:szCs w:val="21"/>
        </w:rPr>
        <w:t xml:space="preserve">Candidates who already </w:t>
      </w:r>
      <w:r w:rsidR="00053C46" w:rsidRPr="00A92957">
        <w:rPr>
          <w:rFonts w:cs="Arial"/>
          <w:sz w:val="21"/>
          <w:szCs w:val="21"/>
        </w:rPr>
        <w:t xml:space="preserve">have </w:t>
      </w:r>
      <w:r w:rsidRPr="00355E0A">
        <w:rPr>
          <w:rFonts w:cs="Arial"/>
          <w:sz w:val="21"/>
          <w:szCs w:val="21"/>
        </w:rPr>
        <w:t>a previous unsuccessful</w:t>
      </w:r>
      <w:r w:rsidR="00242C4A" w:rsidRPr="00355E0A">
        <w:rPr>
          <w:rFonts w:cs="Arial"/>
          <w:sz w:val="21"/>
          <w:szCs w:val="21"/>
        </w:rPr>
        <w:t xml:space="preserve"> attempt at the LDS Part 2 </w:t>
      </w:r>
      <w:r w:rsidR="00861581" w:rsidRPr="00355E0A">
        <w:rPr>
          <w:rFonts w:cs="Arial"/>
          <w:sz w:val="21"/>
          <w:szCs w:val="21"/>
        </w:rPr>
        <w:t>are</w:t>
      </w:r>
      <w:r w:rsidR="00242C4A" w:rsidRPr="00355E0A">
        <w:rPr>
          <w:rFonts w:cs="Arial"/>
          <w:sz w:val="21"/>
          <w:szCs w:val="21"/>
        </w:rPr>
        <w:t xml:space="preserve"> subject to two arrangements: </w:t>
      </w:r>
    </w:p>
    <w:p w14:paraId="6F947618" w14:textId="77777777" w:rsidR="00861581" w:rsidRPr="00355E0A" w:rsidRDefault="00861581" w:rsidP="00D56ED1">
      <w:pPr>
        <w:rPr>
          <w:rFonts w:cs="Arial"/>
          <w:sz w:val="21"/>
          <w:szCs w:val="21"/>
        </w:rPr>
      </w:pPr>
    </w:p>
    <w:p w14:paraId="101033DC" w14:textId="44E8D554" w:rsidR="00253026" w:rsidRPr="00355E0A" w:rsidRDefault="00861581" w:rsidP="00861581">
      <w:pPr>
        <w:pStyle w:val="ListParagraph"/>
        <w:numPr>
          <w:ilvl w:val="0"/>
          <w:numId w:val="4"/>
        </w:numPr>
        <w:rPr>
          <w:rFonts w:ascii="Arial" w:hAnsi="Arial" w:cs="Arial"/>
          <w:sz w:val="21"/>
          <w:szCs w:val="21"/>
        </w:rPr>
      </w:pPr>
      <w:r w:rsidRPr="00355E0A">
        <w:rPr>
          <w:rFonts w:ascii="Arial" w:hAnsi="Arial" w:cs="Arial"/>
          <w:sz w:val="21"/>
          <w:szCs w:val="21"/>
        </w:rPr>
        <w:t>P</w:t>
      </w:r>
      <w:r w:rsidR="00242C4A" w:rsidRPr="00355E0A">
        <w:rPr>
          <w:rFonts w:ascii="Arial" w:hAnsi="Arial" w:cs="Arial"/>
          <w:sz w:val="21"/>
          <w:szCs w:val="21"/>
        </w:rPr>
        <w:t xml:space="preserve">revious passes at the OSCE or USC components in the context of an overall fail </w:t>
      </w:r>
      <w:r w:rsidRPr="00355E0A">
        <w:rPr>
          <w:rFonts w:ascii="Arial" w:hAnsi="Arial" w:cs="Arial"/>
          <w:i/>
          <w:sz w:val="21"/>
          <w:szCs w:val="21"/>
        </w:rPr>
        <w:t>will</w:t>
      </w:r>
      <w:r w:rsidR="00242C4A" w:rsidRPr="00355E0A">
        <w:rPr>
          <w:rFonts w:ascii="Arial" w:hAnsi="Arial" w:cs="Arial"/>
          <w:sz w:val="21"/>
          <w:szCs w:val="21"/>
        </w:rPr>
        <w:t xml:space="preserve"> </w:t>
      </w:r>
      <w:r w:rsidR="00242C4A" w:rsidRPr="00355E0A">
        <w:rPr>
          <w:rFonts w:ascii="Arial" w:hAnsi="Arial" w:cs="Arial"/>
          <w:i/>
          <w:sz w:val="21"/>
          <w:szCs w:val="21"/>
        </w:rPr>
        <w:t>not</w:t>
      </w:r>
      <w:r w:rsidR="00242C4A" w:rsidRPr="00355E0A">
        <w:rPr>
          <w:rFonts w:ascii="Arial" w:hAnsi="Arial" w:cs="Arial"/>
          <w:sz w:val="21"/>
          <w:szCs w:val="21"/>
        </w:rPr>
        <w:t xml:space="preserve"> be recognised, in line with the examination’s regulations at the time of their sitting. </w:t>
      </w:r>
      <w:r w:rsidR="00253026" w:rsidRPr="00355E0A">
        <w:rPr>
          <w:rFonts w:ascii="Arial" w:hAnsi="Arial" w:cs="Arial"/>
          <w:sz w:val="21"/>
          <w:szCs w:val="21"/>
        </w:rPr>
        <w:lastRenderedPageBreak/>
        <w:t xml:space="preserve">Equally, previous passes in the DM component in the context of an overall fail would not exempt a candidate from sitting the new Part 3. </w:t>
      </w:r>
    </w:p>
    <w:p w14:paraId="6051F1C9" w14:textId="77777777" w:rsidR="00253026" w:rsidRPr="00355E0A" w:rsidRDefault="00253026" w:rsidP="00D56ED1">
      <w:pPr>
        <w:rPr>
          <w:rFonts w:cs="Arial"/>
          <w:sz w:val="21"/>
          <w:szCs w:val="21"/>
        </w:rPr>
      </w:pPr>
    </w:p>
    <w:p w14:paraId="076E7AA6" w14:textId="190E2C15" w:rsidR="008B0488" w:rsidRPr="00355E0A" w:rsidRDefault="00861581" w:rsidP="00C32D6E">
      <w:pPr>
        <w:pStyle w:val="ListParagraph"/>
        <w:numPr>
          <w:ilvl w:val="0"/>
          <w:numId w:val="4"/>
        </w:numPr>
        <w:rPr>
          <w:rFonts w:ascii="Arial" w:hAnsi="Arial" w:cs="Arial"/>
          <w:sz w:val="21"/>
          <w:szCs w:val="21"/>
        </w:rPr>
      </w:pPr>
      <w:r w:rsidRPr="00355E0A">
        <w:rPr>
          <w:rFonts w:ascii="Arial" w:hAnsi="Arial" w:cs="Arial"/>
          <w:sz w:val="21"/>
          <w:szCs w:val="21"/>
        </w:rPr>
        <w:t>All</w:t>
      </w:r>
      <w:r w:rsidR="00242C4A" w:rsidRPr="00355E0A">
        <w:rPr>
          <w:rFonts w:ascii="Arial" w:hAnsi="Arial" w:cs="Arial"/>
          <w:sz w:val="21"/>
          <w:szCs w:val="21"/>
        </w:rPr>
        <w:t xml:space="preserve"> previous attempts at the Part 2 </w:t>
      </w:r>
      <w:r w:rsidRPr="00355E0A">
        <w:rPr>
          <w:rFonts w:ascii="Arial" w:hAnsi="Arial" w:cs="Arial"/>
          <w:i/>
          <w:sz w:val="21"/>
          <w:szCs w:val="21"/>
        </w:rPr>
        <w:t>will</w:t>
      </w:r>
      <w:r w:rsidR="00242C4A" w:rsidRPr="00355E0A">
        <w:rPr>
          <w:rFonts w:ascii="Arial" w:hAnsi="Arial" w:cs="Arial"/>
          <w:sz w:val="21"/>
          <w:szCs w:val="21"/>
        </w:rPr>
        <w:t xml:space="preserve"> still count, in order to preserve the </w:t>
      </w:r>
      <w:r w:rsidR="009D2B82" w:rsidRPr="00355E0A">
        <w:rPr>
          <w:rFonts w:ascii="Arial" w:hAnsi="Arial" w:cs="Arial"/>
          <w:sz w:val="21"/>
          <w:szCs w:val="21"/>
        </w:rPr>
        <w:t>principles informing limit on</w:t>
      </w:r>
      <w:r w:rsidR="00242C4A" w:rsidRPr="00355E0A">
        <w:rPr>
          <w:rFonts w:ascii="Arial" w:hAnsi="Arial" w:cs="Arial"/>
          <w:sz w:val="21"/>
          <w:szCs w:val="21"/>
        </w:rPr>
        <w:t xml:space="preserve"> attempts in the first place. Candidates who have failed the Part 2 on three previous occasions </w:t>
      </w:r>
      <w:r w:rsidRPr="00355E0A">
        <w:rPr>
          <w:rFonts w:ascii="Arial" w:hAnsi="Arial" w:cs="Arial"/>
          <w:sz w:val="21"/>
          <w:szCs w:val="21"/>
        </w:rPr>
        <w:t>are</w:t>
      </w:r>
      <w:r w:rsidR="00242C4A" w:rsidRPr="00355E0A">
        <w:rPr>
          <w:rFonts w:ascii="Arial" w:hAnsi="Arial" w:cs="Arial"/>
          <w:sz w:val="21"/>
          <w:szCs w:val="21"/>
        </w:rPr>
        <w:t xml:space="preserve"> still be eligible to sit the reframed Part 2 on one further occasion, again in line with the examination</w:t>
      </w:r>
      <w:r w:rsidR="00253026" w:rsidRPr="00355E0A">
        <w:rPr>
          <w:rFonts w:ascii="Arial" w:hAnsi="Arial" w:cs="Arial"/>
          <w:sz w:val="21"/>
          <w:szCs w:val="21"/>
        </w:rPr>
        <w:t>’</w:t>
      </w:r>
      <w:r w:rsidR="00242C4A" w:rsidRPr="00355E0A">
        <w:rPr>
          <w:rFonts w:ascii="Arial" w:hAnsi="Arial" w:cs="Arial"/>
          <w:sz w:val="21"/>
          <w:szCs w:val="21"/>
        </w:rPr>
        <w:t>s regulations when they had their most recent, third, attempt (which did not identify that this would be the final attempt at the Part 2).</w:t>
      </w:r>
    </w:p>
    <w:sectPr w:rsidR="008B0488" w:rsidRPr="00355E0A" w:rsidSect="00197E40">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FC57E6" w14:textId="77777777" w:rsidR="00E42967" w:rsidRDefault="00E42967" w:rsidP="00197E40">
      <w:pPr>
        <w:spacing w:line="240" w:lineRule="auto"/>
      </w:pPr>
      <w:r>
        <w:separator/>
      </w:r>
    </w:p>
  </w:endnote>
  <w:endnote w:type="continuationSeparator" w:id="0">
    <w:p w14:paraId="06717E98" w14:textId="77777777" w:rsidR="00E42967" w:rsidRDefault="00E42967" w:rsidP="00197E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51E228" w14:textId="77777777" w:rsidR="00E42967" w:rsidRDefault="00E42967" w:rsidP="00197E40">
      <w:pPr>
        <w:spacing w:line="240" w:lineRule="auto"/>
      </w:pPr>
      <w:r>
        <w:separator/>
      </w:r>
    </w:p>
  </w:footnote>
  <w:footnote w:type="continuationSeparator" w:id="0">
    <w:p w14:paraId="42145B9E" w14:textId="77777777" w:rsidR="00E42967" w:rsidRDefault="00E42967" w:rsidP="00197E4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33691" w14:textId="77777777" w:rsidR="00197E40" w:rsidRDefault="00197E40" w:rsidP="00197E40">
    <w:pPr>
      <w:pStyle w:val="Header"/>
      <w:jc w:val="right"/>
    </w:pPr>
    <w:r w:rsidRPr="00197E40">
      <w:rPr>
        <w:noProof/>
        <w:lang w:eastAsia="en-GB"/>
      </w:rPr>
      <w:drawing>
        <wp:anchor distT="0" distB="0" distL="114300" distR="114300" simplePos="0" relativeHeight="251658240" behindDoc="1" locked="0" layoutInCell="1" allowOverlap="1" wp14:anchorId="6239A28E" wp14:editId="581E0B62">
          <wp:simplePos x="0" y="0"/>
          <wp:positionH relativeFrom="column">
            <wp:posOffset>3983493</wp:posOffset>
          </wp:positionH>
          <wp:positionV relativeFrom="paragraph">
            <wp:posOffset>-243315</wp:posOffset>
          </wp:positionV>
          <wp:extent cx="2011680" cy="934322"/>
          <wp:effectExtent l="0" t="0" r="0" b="0"/>
          <wp:wrapNone/>
          <wp:docPr id="1" name="Picture 1" descr="C:\Users\alandau\Downloads\FDS-Logo-Black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andau\Downloads\FDS-Logo-Black (3).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11680" cy="934322"/>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C3D1F"/>
    <w:multiLevelType w:val="hybridMultilevel"/>
    <w:tmpl w:val="35102D44"/>
    <w:lvl w:ilvl="0" w:tplc="A8E621A6">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41911A42"/>
    <w:multiLevelType w:val="hybridMultilevel"/>
    <w:tmpl w:val="5120BD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65421AF"/>
    <w:multiLevelType w:val="hybridMultilevel"/>
    <w:tmpl w:val="AF5C03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3E5"/>
    <w:rsid w:val="00030CCC"/>
    <w:rsid w:val="00053C46"/>
    <w:rsid w:val="000874D5"/>
    <w:rsid w:val="000A73A2"/>
    <w:rsid w:val="000B15AF"/>
    <w:rsid w:val="000F5AD1"/>
    <w:rsid w:val="00102A15"/>
    <w:rsid w:val="00111A23"/>
    <w:rsid w:val="00112BCA"/>
    <w:rsid w:val="00160E69"/>
    <w:rsid w:val="00197E40"/>
    <w:rsid w:val="001D24B9"/>
    <w:rsid w:val="001E47EB"/>
    <w:rsid w:val="001E494F"/>
    <w:rsid w:val="001F0C2F"/>
    <w:rsid w:val="00210CD2"/>
    <w:rsid w:val="002275EC"/>
    <w:rsid w:val="00242C4A"/>
    <w:rsid w:val="00253026"/>
    <w:rsid w:val="00265055"/>
    <w:rsid w:val="002656F2"/>
    <w:rsid w:val="00281818"/>
    <w:rsid w:val="0029622C"/>
    <w:rsid w:val="002B03E5"/>
    <w:rsid w:val="002C3E74"/>
    <w:rsid w:val="002C7461"/>
    <w:rsid w:val="002D1C93"/>
    <w:rsid w:val="002E1187"/>
    <w:rsid w:val="00304FE9"/>
    <w:rsid w:val="003239AB"/>
    <w:rsid w:val="003341EC"/>
    <w:rsid w:val="003351DE"/>
    <w:rsid w:val="00347C40"/>
    <w:rsid w:val="0035264F"/>
    <w:rsid w:val="00355E0A"/>
    <w:rsid w:val="003C0983"/>
    <w:rsid w:val="003C463A"/>
    <w:rsid w:val="003D69CE"/>
    <w:rsid w:val="0040289E"/>
    <w:rsid w:val="00431900"/>
    <w:rsid w:val="00436FE4"/>
    <w:rsid w:val="004433D9"/>
    <w:rsid w:val="004463B2"/>
    <w:rsid w:val="00460288"/>
    <w:rsid w:val="00473A4C"/>
    <w:rsid w:val="00490F6A"/>
    <w:rsid w:val="00491C30"/>
    <w:rsid w:val="004B4242"/>
    <w:rsid w:val="004C230E"/>
    <w:rsid w:val="004E132B"/>
    <w:rsid w:val="004F037E"/>
    <w:rsid w:val="005026E4"/>
    <w:rsid w:val="00505FDC"/>
    <w:rsid w:val="00513B1A"/>
    <w:rsid w:val="00521E7C"/>
    <w:rsid w:val="00541377"/>
    <w:rsid w:val="00545828"/>
    <w:rsid w:val="00547C69"/>
    <w:rsid w:val="0056061E"/>
    <w:rsid w:val="00570A4C"/>
    <w:rsid w:val="005D679C"/>
    <w:rsid w:val="00607451"/>
    <w:rsid w:val="00624E39"/>
    <w:rsid w:val="0063295F"/>
    <w:rsid w:val="006341A3"/>
    <w:rsid w:val="006D29C7"/>
    <w:rsid w:val="0071360D"/>
    <w:rsid w:val="00760FE9"/>
    <w:rsid w:val="00770B1D"/>
    <w:rsid w:val="007833E2"/>
    <w:rsid w:val="007C272B"/>
    <w:rsid w:val="007C5399"/>
    <w:rsid w:val="007F7AED"/>
    <w:rsid w:val="0084619D"/>
    <w:rsid w:val="0085285E"/>
    <w:rsid w:val="008607BF"/>
    <w:rsid w:val="008607F1"/>
    <w:rsid w:val="00861581"/>
    <w:rsid w:val="0087276E"/>
    <w:rsid w:val="00877A0D"/>
    <w:rsid w:val="008804A8"/>
    <w:rsid w:val="00895AE8"/>
    <w:rsid w:val="008A2597"/>
    <w:rsid w:val="008B0488"/>
    <w:rsid w:val="008C0061"/>
    <w:rsid w:val="008C109E"/>
    <w:rsid w:val="008E3B5B"/>
    <w:rsid w:val="00905A45"/>
    <w:rsid w:val="00912480"/>
    <w:rsid w:val="00915B3F"/>
    <w:rsid w:val="00946F88"/>
    <w:rsid w:val="00964ED2"/>
    <w:rsid w:val="0097505A"/>
    <w:rsid w:val="0098636D"/>
    <w:rsid w:val="009A51F5"/>
    <w:rsid w:val="009D2B82"/>
    <w:rsid w:val="00A01175"/>
    <w:rsid w:val="00A27C3E"/>
    <w:rsid w:val="00A74F19"/>
    <w:rsid w:val="00A81BD4"/>
    <w:rsid w:val="00A92957"/>
    <w:rsid w:val="00AC61C4"/>
    <w:rsid w:val="00B26671"/>
    <w:rsid w:val="00B75C18"/>
    <w:rsid w:val="00B86960"/>
    <w:rsid w:val="00B874CA"/>
    <w:rsid w:val="00BF75D5"/>
    <w:rsid w:val="00C02C2D"/>
    <w:rsid w:val="00C5638A"/>
    <w:rsid w:val="00C608B5"/>
    <w:rsid w:val="00C9322B"/>
    <w:rsid w:val="00CC31D8"/>
    <w:rsid w:val="00CD3A94"/>
    <w:rsid w:val="00D050FE"/>
    <w:rsid w:val="00D07321"/>
    <w:rsid w:val="00D15B1C"/>
    <w:rsid w:val="00D22711"/>
    <w:rsid w:val="00D3201A"/>
    <w:rsid w:val="00D50E4E"/>
    <w:rsid w:val="00D51076"/>
    <w:rsid w:val="00D56ED1"/>
    <w:rsid w:val="00D64343"/>
    <w:rsid w:val="00DA111B"/>
    <w:rsid w:val="00DA79CD"/>
    <w:rsid w:val="00DD5F1D"/>
    <w:rsid w:val="00DF56A2"/>
    <w:rsid w:val="00E063B2"/>
    <w:rsid w:val="00E22D40"/>
    <w:rsid w:val="00E34D7A"/>
    <w:rsid w:val="00E35DA1"/>
    <w:rsid w:val="00E42967"/>
    <w:rsid w:val="00E56C7C"/>
    <w:rsid w:val="00E61455"/>
    <w:rsid w:val="00E67B93"/>
    <w:rsid w:val="00E87236"/>
    <w:rsid w:val="00E913E1"/>
    <w:rsid w:val="00E96740"/>
    <w:rsid w:val="00EC50CE"/>
    <w:rsid w:val="00ED0FB8"/>
    <w:rsid w:val="00F268BB"/>
    <w:rsid w:val="00F42B6F"/>
    <w:rsid w:val="00F463F0"/>
    <w:rsid w:val="00F50501"/>
    <w:rsid w:val="00F64E13"/>
    <w:rsid w:val="00F812A8"/>
    <w:rsid w:val="00F845EF"/>
    <w:rsid w:val="00FB0505"/>
    <w:rsid w:val="00FD3768"/>
    <w:rsid w:val="00FD7703"/>
    <w:rsid w:val="00FF3FED"/>
    <w:rsid w:val="5438C9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7892B"/>
  <w15:chartTrackingRefBased/>
  <w15:docId w15:val="{8649EA95-6EE8-4DE7-92B9-C3EE2DFAF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RCS Normal"/>
    <w:qFormat/>
    <w:rsid w:val="000874D5"/>
    <w:rPr>
      <w:rFonts w:ascii="Arial" w:hAnsi="Arial"/>
    </w:rPr>
  </w:style>
  <w:style w:type="paragraph" w:styleId="Heading1">
    <w:name w:val="heading 1"/>
    <w:aliases w:val="RCS Heading 1"/>
    <w:basedOn w:val="Normal"/>
    <w:next w:val="BodyText"/>
    <w:link w:val="Heading1Char"/>
    <w:uiPriority w:val="9"/>
    <w:qFormat/>
    <w:rsid w:val="00AC61C4"/>
    <w:pPr>
      <w:keepNext/>
      <w:keepLines/>
      <w:spacing w:before="480"/>
      <w:outlineLvl w:val="0"/>
    </w:pPr>
    <w:rPr>
      <w:rFonts w:ascii="Georgia" w:eastAsiaTheme="majorEastAsia" w:hAnsi="Georgia" w:cstheme="majorBidi"/>
      <w:bCs/>
      <w:color w:val="49C5B1"/>
      <w:sz w:val="54"/>
      <w:szCs w:val="28"/>
    </w:rPr>
  </w:style>
  <w:style w:type="paragraph" w:styleId="Heading2">
    <w:name w:val="heading 2"/>
    <w:aliases w:val="RCS Intro"/>
    <w:basedOn w:val="BodyText"/>
    <w:next w:val="BodyText"/>
    <w:link w:val="Heading2Char"/>
    <w:uiPriority w:val="9"/>
    <w:unhideWhenUsed/>
    <w:qFormat/>
    <w:rsid w:val="00760FE9"/>
    <w:pPr>
      <w:keepNext/>
      <w:keepLines/>
      <w:spacing w:before="200" w:after="0"/>
      <w:outlineLvl w:val="1"/>
    </w:pPr>
    <w:rPr>
      <w:rFonts w:eastAsiaTheme="majorEastAsia" w:cstheme="majorBidi"/>
      <w:bCs/>
      <w:color w:val="000000" w:themeColor="text1"/>
      <w:sz w:val="32"/>
      <w:szCs w:val="26"/>
    </w:rPr>
  </w:style>
  <w:style w:type="paragraph" w:styleId="Heading3">
    <w:name w:val="heading 3"/>
    <w:basedOn w:val="Normal"/>
    <w:next w:val="Normal"/>
    <w:link w:val="Heading3Char"/>
    <w:uiPriority w:val="9"/>
    <w:unhideWhenUsed/>
    <w:rsid w:val="001F0C2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aliases w:val="RCS Sub Heading"/>
    <w:basedOn w:val="Heading2"/>
    <w:next w:val="BodyText"/>
    <w:link w:val="Heading4Char"/>
    <w:uiPriority w:val="9"/>
    <w:unhideWhenUsed/>
    <w:qFormat/>
    <w:rsid w:val="001F0C2F"/>
    <w:pPr>
      <w:outlineLvl w:val="3"/>
    </w:pPr>
    <w:rPr>
      <w:bCs w:val="0"/>
      <w:iCs/>
      <w:sz w:val="36"/>
    </w:rPr>
  </w:style>
  <w:style w:type="paragraph" w:styleId="Heading5">
    <w:name w:val="heading 5"/>
    <w:basedOn w:val="Normal"/>
    <w:next w:val="Normal"/>
    <w:link w:val="Heading5Char"/>
    <w:uiPriority w:val="9"/>
    <w:unhideWhenUsed/>
    <w:rsid w:val="001F0C2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AC61C4"/>
    <w:pPr>
      <w:spacing w:line="240" w:lineRule="auto"/>
    </w:pPr>
    <w:rPr>
      <w:rFonts w:ascii="Arial" w:hAnsi="Arial"/>
    </w:rPr>
  </w:style>
  <w:style w:type="character" w:customStyle="1" w:styleId="Heading1Char">
    <w:name w:val="Heading 1 Char"/>
    <w:aliases w:val="RCS Heading 1 Char"/>
    <w:basedOn w:val="DefaultParagraphFont"/>
    <w:link w:val="Heading1"/>
    <w:uiPriority w:val="9"/>
    <w:rsid w:val="00AC61C4"/>
    <w:rPr>
      <w:rFonts w:ascii="Georgia" w:eastAsiaTheme="majorEastAsia" w:hAnsi="Georgia" w:cstheme="majorBidi"/>
      <w:bCs/>
      <w:color w:val="49C5B1"/>
      <w:sz w:val="54"/>
      <w:szCs w:val="28"/>
    </w:rPr>
  </w:style>
  <w:style w:type="paragraph" w:styleId="Subtitle">
    <w:name w:val="Subtitle"/>
    <w:aliases w:val="RCS Subtitle,Author"/>
    <w:basedOn w:val="Normal"/>
    <w:next w:val="Normal"/>
    <w:link w:val="SubtitleChar"/>
    <w:uiPriority w:val="11"/>
    <w:qFormat/>
    <w:rsid w:val="00AC61C4"/>
    <w:pPr>
      <w:numPr>
        <w:ilvl w:val="1"/>
      </w:numPr>
    </w:pPr>
    <w:rPr>
      <w:rFonts w:eastAsiaTheme="majorEastAsia" w:cstheme="majorBidi"/>
      <w:b/>
      <w:iCs/>
      <w:color w:val="49C5B1"/>
      <w:spacing w:val="15"/>
      <w:szCs w:val="24"/>
    </w:rPr>
  </w:style>
  <w:style w:type="character" w:customStyle="1" w:styleId="SubtitleChar">
    <w:name w:val="Subtitle Char"/>
    <w:aliases w:val="RCS Subtitle Char,Author Char"/>
    <w:basedOn w:val="DefaultParagraphFont"/>
    <w:link w:val="Subtitle"/>
    <w:uiPriority w:val="11"/>
    <w:rsid w:val="00AC61C4"/>
    <w:rPr>
      <w:rFonts w:ascii="Arial" w:eastAsiaTheme="majorEastAsia" w:hAnsi="Arial" w:cstheme="majorBidi"/>
      <w:b/>
      <w:iCs/>
      <w:color w:val="49C5B1"/>
      <w:spacing w:val="15"/>
      <w:szCs w:val="24"/>
    </w:rPr>
  </w:style>
  <w:style w:type="character" w:customStyle="1" w:styleId="Heading2Char">
    <w:name w:val="Heading 2 Char"/>
    <w:aliases w:val="RCS Intro Char"/>
    <w:basedOn w:val="DefaultParagraphFont"/>
    <w:link w:val="Heading2"/>
    <w:uiPriority w:val="9"/>
    <w:rsid w:val="00760FE9"/>
    <w:rPr>
      <w:rFonts w:ascii="Arial" w:eastAsiaTheme="majorEastAsia" w:hAnsi="Arial" w:cstheme="majorBidi"/>
      <w:bCs/>
      <w:color w:val="000000" w:themeColor="text1"/>
      <w:sz w:val="32"/>
      <w:szCs w:val="26"/>
    </w:rPr>
  </w:style>
  <w:style w:type="character" w:styleId="SubtleEmphasis">
    <w:name w:val="Subtle Emphasis"/>
    <w:basedOn w:val="DefaultParagraphFont"/>
    <w:uiPriority w:val="19"/>
    <w:rsid w:val="00DA111B"/>
    <w:rPr>
      <w:i/>
      <w:iCs/>
      <w:color w:val="808080" w:themeColor="text1" w:themeTint="7F"/>
    </w:rPr>
  </w:style>
  <w:style w:type="paragraph" w:styleId="BodyText">
    <w:name w:val="Body Text"/>
    <w:basedOn w:val="Normal"/>
    <w:link w:val="BodyTextChar"/>
    <w:uiPriority w:val="99"/>
    <w:semiHidden/>
    <w:unhideWhenUsed/>
    <w:rsid w:val="00AC61C4"/>
    <w:pPr>
      <w:spacing w:after="120"/>
    </w:pPr>
  </w:style>
  <w:style w:type="character" w:customStyle="1" w:styleId="BodyTextChar">
    <w:name w:val="Body Text Char"/>
    <w:basedOn w:val="DefaultParagraphFont"/>
    <w:link w:val="BodyText"/>
    <w:uiPriority w:val="99"/>
    <w:semiHidden/>
    <w:rsid w:val="00AC61C4"/>
    <w:rPr>
      <w:rFonts w:ascii="Arial" w:hAnsi="Arial"/>
    </w:rPr>
  </w:style>
  <w:style w:type="character" w:styleId="Emphasis">
    <w:name w:val="Emphasis"/>
    <w:basedOn w:val="DefaultParagraphFont"/>
    <w:uiPriority w:val="20"/>
    <w:rsid w:val="00760FE9"/>
    <w:rPr>
      <w:i/>
      <w:iCs/>
    </w:rPr>
  </w:style>
  <w:style w:type="character" w:styleId="IntenseEmphasis">
    <w:name w:val="Intense Emphasis"/>
    <w:basedOn w:val="DefaultParagraphFont"/>
    <w:uiPriority w:val="21"/>
    <w:rsid w:val="00760FE9"/>
    <w:rPr>
      <w:b/>
      <w:bCs/>
      <w:i/>
      <w:iCs/>
      <w:color w:val="4F81BD" w:themeColor="accent1"/>
    </w:rPr>
  </w:style>
  <w:style w:type="paragraph" w:styleId="Title">
    <w:name w:val="Title"/>
    <w:basedOn w:val="Normal"/>
    <w:next w:val="Normal"/>
    <w:link w:val="TitleChar"/>
    <w:uiPriority w:val="10"/>
    <w:rsid w:val="00760F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60FE9"/>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1F0C2F"/>
    <w:rPr>
      <w:rFonts w:asciiTheme="majorHAnsi" w:eastAsiaTheme="majorEastAsia" w:hAnsiTheme="majorHAnsi" w:cstheme="majorBidi"/>
      <w:b/>
      <w:bCs/>
      <w:color w:val="4F81BD" w:themeColor="accent1"/>
    </w:rPr>
  </w:style>
  <w:style w:type="character" w:customStyle="1" w:styleId="Heading4Char">
    <w:name w:val="Heading 4 Char"/>
    <w:aliases w:val="RCS Sub Heading Char"/>
    <w:basedOn w:val="DefaultParagraphFont"/>
    <w:link w:val="Heading4"/>
    <w:uiPriority w:val="9"/>
    <w:rsid w:val="001F0C2F"/>
    <w:rPr>
      <w:rFonts w:ascii="Arial" w:eastAsiaTheme="majorEastAsia" w:hAnsi="Arial" w:cstheme="majorBidi"/>
      <w:iCs/>
      <w:color w:val="000000" w:themeColor="text1"/>
      <w:sz w:val="36"/>
      <w:szCs w:val="26"/>
    </w:rPr>
  </w:style>
  <w:style w:type="character" w:customStyle="1" w:styleId="Heading5Char">
    <w:name w:val="Heading 5 Char"/>
    <w:basedOn w:val="DefaultParagraphFont"/>
    <w:link w:val="Heading5"/>
    <w:uiPriority w:val="9"/>
    <w:rsid w:val="001F0C2F"/>
    <w:rPr>
      <w:rFonts w:asciiTheme="majorHAnsi" w:eastAsiaTheme="majorEastAsia" w:hAnsiTheme="majorHAnsi" w:cstheme="majorBidi"/>
      <w:color w:val="243F60" w:themeColor="accent1" w:themeShade="7F"/>
    </w:rPr>
  </w:style>
  <w:style w:type="table" w:customStyle="1" w:styleId="RCStable">
    <w:name w:val="RCS table"/>
    <w:basedOn w:val="TableNormal"/>
    <w:uiPriority w:val="99"/>
    <w:rsid w:val="004C230E"/>
    <w:pPr>
      <w:spacing w:line="240" w:lineRule="auto"/>
    </w:pPr>
    <w:tblPr>
      <w:tblStyleRowBandSize w:val="1"/>
      <w:tblStyleColBandSize w:val="1"/>
      <w:tblBorders>
        <w:top w:val="single" w:sz="4" w:space="0" w:color="3071C3" w:themeColor="text2" w:themeTint="BF"/>
        <w:left w:val="single" w:sz="4" w:space="0" w:color="3071C3" w:themeColor="text2" w:themeTint="BF"/>
        <w:bottom w:val="single" w:sz="4" w:space="0" w:color="3071C3" w:themeColor="text2" w:themeTint="BF"/>
        <w:right w:val="single" w:sz="4" w:space="0" w:color="3071C3" w:themeColor="text2" w:themeTint="BF"/>
        <w:insideH w:val="single" w:sz="4" w:space="0" w:color="3071C3" w:themeColor="text2" w:themeTint="BF"/>
        <w:insideV w:val="single" w:sz="4" w:space="0" w:color="3071C3" w:themeColor="text2" w:themeTint="BF"/>
      </w:tblBorders>
    </w:tblPr>
    <w:tcPr>
      <w:shd w:val="clear" w:color="auto" w:fill="auto"/>
      <w:vAlign w:val="center"/>
    </w:tcPr>
    <w:tblStylePr w:type="firstRow">
      <w:rPr>
        <w:b/>
      </w:rPr>
      <w:tblPr/>
      <w:tcPr>
        <w:shd w:val="clear" w:color="auto" w:fill="49C5B1"/>
      </w:tcPr>
    </w:tblStylePr>
    <w:tblStylePr w:type="band1Horz">
      <w:tblPr/>
      <w:tcPr>
        <w:shd w:val="clear" w:color="auto" w:fill="E5E2D1" w:themeFill="background2" w:themeFillShade="F2"/>
      </w:tcPr>
    </w:tblStylePr>
  </w:style>
  <w:style w:type="table" w:styleId="TableGrid">
    <w:name w:val="Table Grid"/>
    <w:basedOn w:val="TableNormal"/>
    <w:uiPriority w:val="59"/>
    <w:rsid w:val="004C230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12A8"/>
    <w:pPr>
      <w:spacing w:line="240" w:lineRule="auto"/>
      <w:ind w:left="720"/>
    </w:pPr>
    <w:rPr>
      <w:rFonts w:ascii="Calibri" w:eastAsia="Calibri" w:hAnsi="Calibri" w:cs="Calibri"/>
    </w:rPr>
  </w:style>
  <w:style w:type="table" w:styleId="TableGridLight">
    <w:name w:val="Grid Table Light"/>
    <w:basedOn w:val="TableNormal"/>
    <w:uiPriority w:val="40"/>
    <w:rsid w:val="00A81BD4"/>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197E40"/>
    <w:pPr>
      <w:tabs>
        <w:tab w:val="center" w:pos="4513"/>
        <w:tab w:val="right" w:pos="9026"/>
      </w:tabs>
      <w:spacing w:line="240" w:lineRule="auto"/>
    </w:pPr>
  </w:style>
  <w:style w:type="character" w:customStyle="1" w:styleId="HeaderChar">
    <w:name w:val="Header Char"/>
    <w:basedOn w:val="DefaultParagraphFont"/>
    <w:link w:val="Header"/>
    <w:uiPriority w:val="99"/>
    <w:rsid w:val="00197E40"/>
    <w:rPr>
      <w:rFonts w:ascii="Arial" w:hAnsi="Arial"/>
    </w:rPr>
  </w:style>
  <w:style w:type="paragraph" w:styleId="Footer">
    <w:name w:val="footer"/>
    <w:basedOn w:val="Normal"/>
    <w:link w:val="FooterChar"/>
    <w:uiPriority w:val="99"/>
    <w:unhideWhenUsed/>
    <w:rsid w:val="00197E40"/>
    <w:pPr>
      <w:tabs>
        <w:tab w:val="center" w:pos="4513"/>
        <w:tab w:val="right" w:pos="9026"/>
      </w:tabs>
      <w:spacing w:line="240" w:lineRule="auto"/>
    </w:pPr>
  </w:style>
  <w:style w:type="character" w:customStyle="1" w:styleId="FooterChar">
    <w:name w:val="Footer Char"/>
    <w:basedOn w:val="DefaultParagraphFont"/>
    <w:link w:val="Footer"/>
    <w:uiPriority w:val="99"/>
    <w:rsid w:val="00197E40"/>
    <w:rPr>
      <w:rFonts w:ascii="Arial" w:hAnsi="Arial"/>
    </w:rPr>
  </w:style>
  <w:style w:type="character" w:styleId="CommentReference">
    <w:name w:val="annotation reference"/>
    <w:basedOn w:val="DefaultParagraphFont"/>
    <w:uiPriority w:val="99"/>
    <w:semiHidden/>
    <w:unhideWhenUsed/>
    <w:rsid w:val="00030CCC"/>
    <w:rPr>
      <w:sz w:val="16"/>
      <w:szCs w:val="16"/>
    </w:rPr>
  </w:style>
  <w:style w:type="paragraph" w:styleId="CommentText">
    <w:name w:val="annotation text"/>
    <w:basedOn w:val="Normal"/>
    <w:link w:val="CommentTextChar"/>
    <w:uiPriority w:val="99"/>
    <w:semiHidden/>
    <w:unhideWhenUsed/>
    <w:rsid w:val="00030CCC"/>
    <w:pPr>
      <w:spacing w:line="240" w:lineRule="auto"/>
    </w:pPr>
    <w:rPr>
      <w:sz w:val="20"/>
      <w:szCs w:val="20"/>
    </w:rPr>
  </w:style>
  <w:style w:type="character" w:customStyle="1" w:styleId="CommentTextChar">
    <w:name w:val="Comment Text Char"/>
    <w:basedOn w:val="DefaultParagraphFont"/>
    <w:link w:val="CommentText"/>
    <w:uiPriority w:val="99"/>
    <w:semiHidden/>
    <w:rsid w:val="00030CC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30CCC"/>
    <w:rPr>
      <w:b/>
      <w:bCs/>
    </w:rPr>
  </w:style>
  <w:style w:type="character" w:customStyle="1" w:styleId="CommentSubjectChar">
    <w:name w:val="Comment Subject Char"/>
    <w:basedOn w:val="CommentTextChar"/>
    <w:link w:val="CommentSubject"/>
    <w:uiPriority w:val="99"/>
    <w:semiHidden/>
    <w:rsid w:val="00030CCC"/>
    <w:rPr>
      <w:rFonts w:ascii="Arial" w:hAnsi="Arial"/>
      <w:b/>
      <w:bCs/>
      <w:sz w:val="20"/>
      <w:szCs w:val="20"/>
    </w:rPr>
  </w:style>
  <w:style w:type="paragraph" w:styleId="BalloonText">
    <w:name w:val="Balloon Text"/>
    <w:basedOn w:val="Normal"/>
    <w:link w:val="BalloonTextChar"/>
    <w:uiPriority w:val="99"/>
    <w:semiHidden/>
    <w:unhideWhenUsed/>
    <w:rsid w:val="00030CC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0CCC"/>
    <w:rPr>
      <w:rFonts w:ascii="Segoe UI" w:hAnsi="Segoe UI" w:cs="Segoe UI"/>
      <w:sz w:val="18"/>
      <w:szCs w:val="18"/>
    </w:rPr>
  </w:style>
  <w:style w:type="paragraph" w:styleId="Revision">
    <w:name w:val="Revision"/>
    <w:hidden/>
    <w:uiPriority w:val="99"/>
    <w:semiHidden/>
    <w:rsid w:val="00A92957"/>
    <w:pPr>
      <w:spacing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2258036">
      <w:bodyDiv w:val="1"/>
      <w:marLeft w:val="0"/>
      <w:marRight w:val="0"/>
      <w:marTop w:val="0"/>
      <w:marBottom w:val="0"/>
      <w:divBdr>
        <w:top w:val="none" w:sz="0" w:space="0" w:color="auto"/>
        <w:left w:val="none" w:sz="0" w:space="0" w:color="auto"/>
        <w:bottom w:val="none" w:sz="0" w:space="0" w:color="auto"/>
        <w:right w:val="none" w:sz="0" w:space="0" w:color="auto"/>
      </w:divBdr>
    </w:div>
    <w:div w:id="168712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AFBC618BDB734E96C202F4EC34442B" ma:contentTypeVersion="7" ma:contentTypeDescription="Create a new document." ma:contentTypeScope="" ma:versionID="76ba7fe0b6703ac230ebedbc936cef7a">
  <xsd:schema xmlns:xsd="http://www.w3.org/2001/XMLSchema" xmlns:xs="http://www.w3.org/2001/XMLSchema" xmlns:p="http://schemas.microsoft.com/office/2006/metadata/properties" xmlns:ns2="5f0b8f86-387f-4662-84f4-6d97b8c5c61f" targetNamespace="http://schemas.microsoft.com/office/2006/metadata/properties" ma:root="true" ma:fieldsID="d556104028ca4669c207f9f41f96e546" ns2:_="">
    <xsd:import namespace="5f0b8f86-387f-4662-84f4-6d97b8c5c6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0b8f86-387f-4662-84f4-6d97b8c5c6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A6E0A-3C71-42DF-A3D9-56016385A0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295B63-72F5-4B57-A517-58A0BB33D13B}">
  <ds:schemaRefs>
    <ds:schemaRef ds:uri="http://schemas.microsoft.com/sharepoint/v3/contenttype/forms"/>
  </ds:schemaRefs>
</ds:datastoreItem>
</file>

<file path=customXml/itemProps3.xml><?xml version="1.0" encoding="utf-8"?>
<ds:datastoreItem xmlns:ds="http://schemas.openxmlformats.org/officeDocument/2006/customXml" ds:itemID="{D9A8547E-47A0-421C-BF7A-9735633391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0b8f86-387f-4662-84f4-6d97b8c5c6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4AD256-42B4-45DB-A86C-920505751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811</Words>
  <Characters>4625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Royal College of Surgeons of England</Company>
  <LinksUpToDate>false</LinksUpToDate>
  <CharactersWithSpaces>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Landau</dc:creator>
  <cp:keywords/>
  <dc:description/>
  <cp:lastModifiedBy>Oakley Satchell</cp:lastModifiedBy>
  <cp:revision>2</cp:revision>
  <dcterms:created xsi:type="dcterms:W3CDTF">2022-04-26T10:02:00Z</dcterms:created>
  <dcterms:modified xsi:type="dcterms:W3CDTF">2022-04-26T10:02:00Z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0x010100C3AFBC618BDB734E96C202F4EC34442B</vt:lpwstr>
  </property>
</Properties>
</file>